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51"/>
        <w:gridCol w:w="8350"/>
        <w:gridCol w:w="833"/>
      </w:tblGrid>
      <w:tr w:rsidR="001F0083" w:rsidRPr="00101976" w14:paraId="4F0130CA" w14:textId="77777777" w:rsidTr="001B65C2">
        <w:tc>
          <w:tcPr>
            <w:tcW w:w="11004" w:type="dxa"/>
            <w:gridSpan w:val="3"/>
            <w:shd w:val="clear" w:color="auto" w:fill="D9D9D9"/>
            <w:vAlign w:val="center"/>
          </w:tcPr>
          <w:p w14:paraId="73F9BE29" w14:textId="77777777" w:rsidR="005A2106" w:rsidRPr="001B4BFF" w:rsidRDefault="00D01BD5" w:rsidP="001B4BFF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r>
              <w:rPr>
                <w:b w:val="0"/>
                <w:bCs/>
                <w:caps/>
                <w:szCs w:val="24"/>
              </w:rPr>
              <w:t>Consultant Selection &amp; engineering services contract (esc) Submittal</w:t>
            </w:r>
            <w:r w:rsidR="00300F87">
              <w:rPr>
                <w:b w:val="0"/>
                <w:bCs/>
                <w:caps/>
                <w:szCs w:val="24"/>
              </w:rPr>
              <w:t xml:space="preserve"> checklist</w:t>
            </w:r>
          </w:p>
        </w:tc>
      </w:tr>
      <w:tr w:rsidR="0003187F" w:rsidRPr="00101976" w14:paraId="01C5C34D" w14:textId="77777777" w:rsidTr="00BB2073">
        <w:tc>
          <w:tcPr>
            <w:tcW w:w="1764" w:type="dxa"/>
            <w:vMerge w:val="restart"/>
          </w:tcPr>
          <w:p w14:paraId="7BB9A5FF" w14:textId="77777777" w:rsidR="0003187F" w:rsidRDefault="00C95AF6" w:rsidP="00FF6B1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LPA</w:t>
            </w:r>
            <w:r w:rsidR="0003187F">
              <w:rPr>
                <w:b/>
                <w:color w:val="003366"/>
                <w:sz w:val="18"/>
              </w:rPr>
              <w:t xml:space="preserve"> to Develop RFQ</w:t>
            </w:r>
          </w:p>
          <w:p w14:paraId="1C222811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  <w:p w14:paraId="6567D48A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  <w:p w14:paraId="5B518D18" w14:textId="77777777"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14:paraId="629EBF30" w14:textId="77777777"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14:paraId="7F197CBC" w14:textId="77777777"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14:paraId="0FD33282" w14:textId="77777777"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14:paraId="34456298" w14:textId="77777777" w:rsidR="0003187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  <w:p w14:paraId="64E431FD" w14:textId="77777777" w:rsidR="0003187F" w:rsidRPr="001B4BFF" w:rsidRDefault="0003187F" w:rsidP="00A21096">
            <w:pPr>
              <w:spacing w:before="60" w:after="60"/>
              <w:jc w:val="right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215EAFC6" w14:textId="77777777" w:rsidR="0003187F" w:rsidRDefault="0003187F" w:rsidP="00BB2073">
            <w:pPr>
              <w:spacing w:after="60"/>
              <w:rPr>
                <w:sz w:val="18"/>
              </w:rPr>
            </w:pPr>
          </w:p>
          <w:p w14:paraId="4889F1E1" w14:textId="77777777" w:rsidR="0003187F" w:rsidRPr="001B4BF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Determine the Scope of Services needed – See Fig. 136.4.7 for sample scopes of service.  </w:t>
            </w:r>
            <w:r w:rsidRPr="00D01BD5">
              <w:rPr>
                <w:b/>
                <w:sz w:val="18"/>
              </w:rPr>
              <w:t xml:space="preserve">**Note the LPA cannot ask a consulting firm to provide scopes of service free of </w:t>
            </w:r>
            <w:proofErr w:type="gramStart"/>
            <w:r w:rsidRPr="00D01BD5">
              <w:rPr>
                <w:b/>
                <w:sz w:val="18"/>
              </w:rPr>
              <w:t>charge!*</w:t>
            </w:r>
            <w:proofErr w:type="gramEnd"/>
            <w:r w:rsidRPr="00D01BD5">
              <w:rPr>
                <w:b/>
                <w:sz w:val="18"/>
              </w:rPr>
              <w:t>*</w:t>
            </w:r>
          </w:p>
        </w:tc>
        <w:tc>
          <w:tcPr>
            <w:tcW w:w="840" w:type="dxa"/>
            <w:vAlign w:val="center"/>
          </w:tcPr>
          <w:p w14:paraId="6F11325B" w14:textId="77777777" w:rsidR="0003187F" w:rsidRPr="001B4BFF" w:rsidRDefault="0003187F" w:rsidP="001B65C2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52C20C06" w14:textId="77777777" w:rsidTr="00BB2073">
        <w:tc>
          <w:tcPr>
            <w:tcW w:w="1764" w:type="dxa"/>
            <w:vMerge/>
          </w:tcPr>
          <w:p w14:paraId="1AE2065D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6C1AE9C3" w14:textId="77777777"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Prepare Draft RFQ – See Fig 136.4.7 for sample solicitation.</w:t>
            </w:r>
          </w:p>
        </w:tc>
        <w:tc>
          <w:tcPr>
            <w:tcW w:w="840" w:type="dxa"/>
            <w:vAlign w:val="center"/>
          </w:tcPr>
          <w:p w14:paraId="5F86D5B9" w14:textId="77777777" w:rsidR="0003187F" w:rsidRPr="001B4BFF" w:rsidRDefault="0003187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4FE8A0CB" w14:textId="77777777" w:rsidTr="001B65C2">
        <w:tc>
          <w:tcPr>
            <w:tcW w:w="1764" w:type="dxa"/>
            <w:vMerge/>
          </w:tcPr>
          <w:p w14:paraId="795418A5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D9D9D9"/>
            <w:vAlign w:val="center"/>
          </w:tcPr>
          <w:p w14:paraId="2A42634F" w14:textId="77777777" w:rsidR="0003187F" w:rsidRPr="001B4BFF" w:rsidRDefault="0003187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>
              <w:rPr>
                <w:sz w:val="18"/>
              </w:rPr>
              <w:t xml:space="preserve">If using MoDOT’s </w:t>
            </w:r>
            <w:proofErr w:type="gramStart"/>
            <w:r>
              <w:rPr>
                <w:sz w:val="18"/>
              </w:rPr>
              <w:t>Sample  RFQ</w:t>
            </w:r>
            <w:proofErr w:type="gramEnd"/>
            <w:r>
              <w:rPr>
                <w:sz w:val="18"/>
              </w:rPr>
              <w:t>:</w:t>
            </w:r>
          </w:p>
        </w:tc>
      </w:tr>
      <w:tr w:rsidR="0003187F" w:rsidRPr="00101976" w14:paraId="28A0E22F" w14:textId="77777777" w:rsidTr="00BB2073">
        <w:tc>
          <w:tcPr>
            <w:tcW w:w="1764" w:type="dxa"/>
            <w:vMerge/>
          </w:tcPr>
          <w:p w14:paraId="2A6D7672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4465C011" w14:textId="77777777" w:rsidR="0003187F" w:rsidRDefault="0003187F" w:rsidP="001B65C2">
            <w:pPr>
              <w:spacing w:after="60"/>
              <w:ind w:left="522" w:hanging="630"/>
              <w:rPr>
                <w:sz w:val="18"/>
              </w:rPr>
            </w:pPr>
            <w:r>
              <w:rPr>
                <w:sz w:val="18"/>
              </w:rPr>
              <w:t xml:space="preserve">            </w:t>
            </w:r>
          </w:p>
          <w:p w14:paraId="0E861F0D" w14:textId="77777777"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Fill out entire sample but leave the DBE Goal blank because MoDOT External Civil Rights Division will determine this.</w:t>
            </w:r>
          </w:p>
        </w:tc>
        <w:tc>
          <w:tcPr>
            <w:tcW w:w="840" w:type="dxa"/>
            <w:vAlign w:val="center"/>
          </w:tcPr>
          <w:p w14:paraId="4A61E527" w14:textId="77777777"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1A2091BF" w14:textId="77777777" w:rsidTr="001B4BFF">
        <w:tc>
          <w:tcPr>
            <w:tcW w:w="1764" w:type="dxa"/>
            <w:vMerge/>
          </w:tcPr>
          <w:p w14:paraId="3F11F6D2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2F36B6A6" w14:textId="77777777" w:rsidR="0003187F" w:rsidRDefault="0003187F" w:rsidP="00BB2073">
            <w:pPr>
              <w:spacing w:after="60"/>
              <w:ind w:left="522" w:hanging="540"/>
              <w:rPr>
                <w:sz w:val="18"/>
              </w:rPr>
            </w:pPr>
          </w:p>
          <w:p w14:paraId="6109C868" w14:textId="77777777" w:rsidR="0003187F" w:rsidRDefault="0003187F" w:rsidP="00BB2073">
            <w:pPr>
              <w:spacing w:after="60"/>
              <w:ind w:left="522" w:hanging="540"/>
              <w:rPr>
                <w:sz w:val="18"/>
              </w:rPr>
            </w:pPr>
            <w:r>
              <w:rPr>
                <w:sz w:val="18"/>
              </w:rPr>
              <w:t>Fill out the sample cover letter and place it on the LPA’s letter head.</w:t>
            </w:r>
          </w:p>
          <w:p w14:paraId="4F5A3045" w14:textId="77777777" w:rsidR="0003187F" w:rsidRDefault="0003187F" w:rsidP="001B65C2">
            <w:pPr>
              <w:spacing w:after="60"/>
              <w:ind w:left="522" w:hanging="63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14:paraId="51FAB5E2" w14:textId="77777777" w:rsidR="0003187F" w:rsidRPr="001B4BFF" w:rsidRDefault="0003187F" w:rsidP="00A21096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759A936B" w14:textId="77777777" w:rsidTr="001B65C2">
        <w:trPr>
          <w:trHeight w:val="413"/>
        </w:trPr>
        <w:tc>
          <w:tcPr>
            <w:tcW w:w="1764" w:type="dxa"/>
            <w:vMerge/>
          </w:tcPr>
          <w:p w14:paraId="6E83FC6A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D9D9D9"/>
            <w:vAlign w:val="center"/>
          </w:tcPr>
          <w:p w14:paraId="587758E8" w14:textId="77777777" w:rsidR="0003187F" w:rsidRPr="001B65C2" w:rsidRDefault="0003187F" w:rsidP="001B65C2">
            <w:pPr>
              <w:spacing w:after="60"/>
              <w:jc w:val="center"/>
              <w:rPr>
                <w:rFonts w:cs="Arial"/>
                <w:sz w:val="32"/>
                <w:szCs w:val="32"/>
              </w:rPr>
            </w:pPr>
            <w:r w:rsidRPr="001B65C2">
              <w:rPr>
                <w:sz w:val="18"/>
              </w:rPr>
              <w:t>Not using MoDOT’s Sample RFQ – must include the following:</w:t>
            </w:r>
          </w:p>
        </w:tc>
      </w:tr>
      <w:tr w:rsidR="0003187F" w:rsidRPr="00101976" w14:paraId="7F3DE180" w14:textId="77777777" w:rsidTr="00BB2073">
        <w:trPr>
          <w:trHeight w:val="656"/>
        </w:trPr>
        <w:tc>
          <w:tcPr>
            <w:tcW w:w="1764" w:type="dxa"/>
            <w:vMerge/>
          </w:tcPr>
          <w:p w14:paraId="46167997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67436A4C" w14:textId="77777777"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Scope of Services</w:t>
            </w:r>
          </w:p>
        </w:tc>
        <w:tc>
          <w:tcPr>
            <w:tcW w:w="840" w:type="dxa"/>
            <w:vAlign w:val="center"/>
          </w:tcPr>
          <w:p w14:paraId="2051DAA6" w14:textId="77777777"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4DCD8582" w14:textId="77777777" w:rsidTr="00BB2073">
        <w:tc>
          <w:tcPr>
            <w:tcW w:w="1764" w:type="dxa"/>
            <w:vMerge/>
          </w:tcPr>
          <w:p w14:paraId="0400EB7B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32568A74" w14:textId="77777777"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 xml:space="preserve">Rating Criteria with weighted values associated with each </w:t>
            </w:r>
            <w:proofErr w:type="gramStart"/>
            <w:r>
              <w:rPr>
                <w:sz w:val="18"/>
              </w:rPr>
              <w:t>criteria</w:t>
            </w:r>
            <w:proofErr w:type="gramEnd"/>
          </w:p>
        </w:tc>
        <w:tc>
          <w:tcPr>
            <w:tcW w:w="840" w:type="dxa"/>
            <w:vAlign w:val="center"/>
          </w:tcPr>
          <w:p w14:paraId="3D0A4388" w14:textId="77777777"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43910867" w14:textId="77777777" w:rsidTr="00BB2073">
        <w:tc>
          <w:tcPr>
            <w:tcW w:w="1764" w:type="dxa"/>
            <w:vMerge/>
          </w:tcPr>
          <w:p w14:paraId="6087A28B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4E7391ED" w14:textId="77777777" w:rsidR="0003187F" w:rsidRDefault="0003187F" w:rsidP="00BB2073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Due Date &amp; Time</w:t>
            </w:r>
            <w:r w:rsidR="006357D0">
              <w:rPr>
                <w:sz w:val="18"/>
              </w:rPr>
              <w:t xml:space="preserve"> </w:t>
            </w:r>
            <w:r w:rsidR="006357D0" w:rsidRPr="00D878A9">
              <w:rPr>
                <w:sz w:val="18"/>
              </w:rPr>
              <w:t>(2 weeks from the date of posting to MoDOT website)</w:t>
            </w:r>
          </w:p>
        </w:tc>
        <w:tc>
          <w:tcPr>
            <w:tcW w:w="840" w:type="dxa"/>
            <w:vAlign w:val="center"/>
          </w:tcPr>
          <w:p w14:paraId="42B20C5C" w14:textId="77777777"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1AEF4C6B" w14:textId="77777777" w:rsidTr="00BB2073">
        <w:tc>
          <w:tcPr>
            <w:tcW w:w="1764" w:type="dxa"/>
            <w:vMerge/>
          </w:tcPr>
          <w:p w14:paraId="2DFC2F3C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3EACE624" w14:textId="77777777" w:rsidR="0003187F" w:rsidRDefault="0003187F" w:rsidP="0003187F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DBE Goal (but left blank until MoDOT determines this)</w:t>
            </w:r>
          </w:p>
        </w:tc>
        <w:tc>
          <w:tcPr>
            <w:tcW w:w="840" w:type="dxa"/>
            <w:vAlign w:val="center"/>
          </w:tcPr>
          <w:p w14:paraId="0A05C8A6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3B2C58E6" w14:textId="77777777" w:rsidTr="00BB2073">
        <w:tc>
          <w:tcPr>
            <w:tcW w:w="1764" w:type="dxa"/>
            <w:vMerge/>
          </w:tcPr>
          <w:p w14:paraId="69535C9E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3E14F8A2" w14:textId="77777777" w:rsidR="0003187F" w:rsidRDefault="0003187F" w:rsidP="0003187F">
            <w:pPr>
              <w:spacing w:after="60"/>
              <w:ind w:right="1092" w:hanging="18"/>
              <w:rPr>
                <w:sz w:val="18"/>
              </w:rPr>
            </w:pPr>
            <w:r>
              <w:rPr>
                <w:sz w:val="18"/>
              </w:rPr>
              <w:t>Cover letter with:</w:t>
            </w:r>
          </w:p>
        </w:tc>
        <w:tc>
          <w:tcPr>
            <w:tcW w:w="840" w:type="dxa"/>
            <w:vAlign w:val="center"/>
          </w:tcPr>
          <w:p w14:paraId="45933385" w14:textId="77777777" w:rsidR="0003187F" w:rsidRPr="001B4BFF" w:rsidRDefault="0003187F" w:rsidP="00BB2073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5A076452" w14:textId="77777777" w:rsidTr="0003187F">
        <w:tc>
          <w:tcPr>
            <w:tcW w:w="1764" w:type="dxa"/>
            <w:vMerge/>
          </w:tcPr>
          <w:p w14:paraId="2F5B3264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58A90111" w14:textId="77777777" w:rsidR="0003187F" w:rsidRPr="0003187F" w:rsidRDefault="0003187F" w:rsidP="0003187F">
            <w:pPr>
              <w:spacing w:after="60"/>
              <w:ind w:firstLine="1152"/>
              <w:rPr>
                <w:sz w:val="18"/>
              </w:rPr>
            </w:pPr>
            <w:r>
              <w:rPr>
                <w:sz w:val="18"/>
              </w:rPr>
              <w:t>Federal Aid Number</w:t>
            </w:r>
          </w:p>
        </w:tc>
        <w:tc>
          <w:tcPr>
            <w:tcW w:w="840" w:type="dxa"/>
            <w:vAlign w:val="center"/>
          </w:tcPr>
          <w:p w14:paraId="669AC1BD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43C6FE73" w14:textId="77777777" w:rsidTr="0003187F">
        <w:tc>
          <w:tcPr>
            <w:tcW w:w="1764" w:type="dxa"/>
            <w:vMerge/>
          </w:tcPr>
          <w:p w14:paraId="68A096DF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73C8D73A" w14:textId="77777777" w:rsidR="0003187F" w:rsidRDefault="0003187F" w:rsidP="0003187F">
            <w:pPr>
              <w:spacing w:after="60"/>
              <w:ind w:firstLine="1152"/>
              <w:rPr>
                <w:sz w:val="18"/>
              </w:rPr>
            </w:pPr>
            <w:r>
              <w:rPr>
                <w:sz w:val="18"/>
              </w:rPr>
              <w:t>Letter of Interest should be no more than XX pages statement</w:t>
            </w:r>
          </w:p>
        </w:tc>
        <w:tc>
          <w:tcPr>
            <w:tcW w:w="840" w:type="dxa"/>
            <w:vAlign w:val="center"/>
          </w:tcPr>
          <w:p w14:paraId="7AF5D3B0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629B587C" w14:textId="77777777" w:rsidTr="0003187F">
        <w:tc>
          <w:tcPr>
            <w:tcW w:w="1764" w:type="dxa"/>
            <w:vMerge/>
          </w:tcPr>
          <w:p w14:paraId="441C50D4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0D55A0B2" w14:textId="77777777" w:rsidR="0003187F" w:rsidRDefault="0003187F" w:rsidP="0003187F">
            <w:pPr>
              <w:spacing w:after="60"/>
              <w:ind w:firstLine="1152"/>
              <w:rPr>
                <w:sz w:val="18"/>
              </w:rPr>
            </w:pPr>
            <w:r>
              <w:rPr>
                <w:sz w:val="18"/>
              </w:rPr>
              <w:t>DBE Firms must be listed in the MRCC Directory statement</w:t>
            </w:r>
          </w:p>
        </w:tc>
        <w:tc>
          <w:tcPr>
            <w:tcW w:w="840" w:type="dxa"/>
            <w:vAlign w:val="center"/>
          </w:tcPr>
          <w:p w14:paraId="290291AD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357D0" w:rsidRPr="00101976" w14:paraId="14BDEE2F" w14:textId="77777777" w:rsidTr="0003187F">
        <w:tc>
          <w:tcPr>
            <w:tcW w:w="1764" w:type="dxa"/>
            <w:vMerge/>
          </w:tcPr>
          <w:p w14:paraId="7C9E878D" w14:textId="77777777" w:rsidR="006357D0" w:rsidRDefault="006357D0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68C32BC0" w14:textId="77777777" w:rsidR="006357D0" w:rsidRDefault="006357D0" w:rsidP="006357D0">
            <w:pPr>
              <w:spacing w:after="60"/>
              <w:ind w:left="1152"/>
              <w:rPr>
                <w:sz w:val="18"/>
              </w:rPr>
            </w:pPr>
            <w:r>
              <w:rPr>
                <w:sz w:val="18"/>
              </w:rPr>
              <w:t>Statement of Qualifications (SOQ) request from firms who submitted letters of interest, if not already on file with the LPA.</w:t>
            </w:r>
          </w:p>
        </w:tc>
        <w:tc>
          <w:tcPr>
            <w:tcW w:w="840" w:type="dxa"/>
            <w:vAlign w:val="center"/>
          </w:tcPr>
          <w:p w14:paraId="22724496" w14:textId="77777777" w:rsidR="006357D0" w:rsidRPr="001B4BFF" w:rsidRDefault="006357D0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28ADB364" w14:textId="77777777" w:rsidTr="0003187F">
        <w:tc>
          <w:tcPr>
            <w:tcW w:w="1764" w:type="dxa"/>
            <w:vMerge/>
          </w:tcPr>
          <w:p w14:paraId="556743AF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759C7CC5" w14:textId="77777777" w:rsidR="0003187F" w:rsidRDefault="0003187F" w:rsidP="0003187F">
            <w:pPr>
              <w:spacing w:after="60"/>
              <w:ind w:left="1152"/>
              <w:rPr>
                <w:sz w:val="18"/>
              </w:rPr>
            </w:pPr>
            <w:r>
              <w:rPr>
                <w:sz w:val="18"/>
              </w:rPr>
              <w:t>Statement saying that the letter of interest must also include the E-Verify MOU &amp; Affidavit of Compliance</w:t>
            </w:r>
          </w:p>
        </w:tc>
        <w:tc>
          <w:tcPr>
            <w:tcW w:w="840" w:type="dxa"/>
            <w:vAlign w:val="center"/>
          </w:tcPr>
          <w:p w14:paraId="0F6B7680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3187F" w:rsidRPr="00101976" w14:paraId="511E49CF" w14:textId="77777777" w:rsidTr="0003187F">
        <w:tc>
          <w:tcPr>
            <w:tcW w:w="1764" w:type="dxa"/>
            <w:vMerge/>
          </w:tcPr>
          <w:p w14:paraId="2AC7C138" w14:textId="77777777" w:rsidR="0003187F" w:rsidRDefault="0003187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4C4C5C88" w14:textId="77777777" w:rsidR="0003187F" w:rsidRDefault="0003187F" w:rsidP="0003187F">
            <w:pPr>
              <w:spacing w:after="60"/>
              <w:ind w:left="1152"/>
              <w:rPr>
                <w:sz w:val="18"/>
              </w:rPr>
            </w:pPr>
            <w:r>
              <w:rPr>
                <w:sz w:val="18"/>
              </w:rPr>
              <w:t>Contact Name &amp; Phone Number</w:t>
            </w:r>
          </w:p>
        </w:tc>
        <w:tc>
          <w:tcPr>
            <w:tcW w:w="840" w:type="dxa"/>
            <w:vAlign w:val="center"/>
          </w:tcPr>
          <w:p w14:paraId="2886A96C" w14:textId="77777777" w:rsidR="0003187F" w:rsidRPr="001B4BFF" w:rsidRDefault="0003187F" w:rsidP="0003187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B6DAF" w:rsidRPr="00101976" w14:paraId="243EA29E" w14:textId="77777777" w:rsidTr="001B4BFF">
        <w:tc>
          <w:tcPr>
            <w:tcW w:w="1764" w:type="dxa"/>
            <w:vMerge w:val="restart"/>
          </w:tcPr>
          <w:p w14:paraId="12025F2C" w14:textId="77777777" w:rsidR="006B6DAF" w:rsidRPr="001B4BFF" w:rsidRDefault="006B6DAF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Post the RFQ</w:t>
            </w:r>
          </w:p>
        </w:tc>
        <w:tc>
          <w:tcPr>
            <w:tcW w:w="8400" w:type="dxa"/>
          </w:tcPr>
          <w:p w14:paraId="0009CDB7" w14:textId="77777777" w:rsidR="006B6DAF" w:rsidRPr="001B4BF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Local Agency to send Draft RFQ to MoDOT District Representative for review and for determination of the DBE Goal.</w:t>
            </w:r>
          </w:p>
        </w:tc>
        <w:tc>
          <w:tcPr>
            <w:tcW w:w="840" w:type="dxa"/>
            <w:vAlign w:val="center"/>
          </w:tcPr>
          <w:p w14:paraId="132597D6" w14:textId="77777777" w:rsidR="006B6DAF" w:rsidRPr="001B4BFF" w:rsidRDefault="006B6DAF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B6DAF" w:rsidRPr="00101976" w14:paraId="7E890EC7" w14:textId="77777777" w:rsidTr="001B4BFF">
        <w:tc>
          <w:tcPr>
            <w:tcW w:w="1764" w:type="dxa"/>
            <w:vMerge/>
          </w:tcPr>
          <w:p w14:paraId="11F15F89" w14:textId="77777777" w:rsidR="006B6DAF" w:rsidRDefault="006B6DA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73EACDC1" w14:textId="77777777" w:rsidR="006B6DA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RFQ to be revised to include the determined DBE Goal</w:t>
            </w:r>
          </w:p>
        </w:tc>
        <w:tc>
          <w:tcPr>
            <w:tcW w:w="840" w:type="dxa"/>
            <w:vAlign w:val="center"/>
          </w:tcPr>
          <w:p w14:paraId="11E44DCB" w14:textId="77777777" w:rsidR="006B6DAF" w:rsidRPr="001B4BFF" w:rsidRDefault="006B6DA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B6DAF" w:rsidRPr="00101976" w14:paraId="6BC0B99A" w14:textId="77777777" w:rsidTr="001B4BFF">
        <w:tc>
          <w:tcPr>
            <w:tcW w:w="1764" w:type="dxa"/>
            <w:vMerge/>
          </w:tcPr>
          <w:p w14:paraId="6B08E4AC" w14:textId="77777777" w:rsidR="006B6DAF" w:rsidRDefault="006B6DAF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14:paraId="4F398867" w14:textId="77777777" w:rsidR="006B6DA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The RFQ will be posted for 14 days minimum on MoDOT’s website. </w:t>
            </w:r>
          </w:p>
          <w:p w14:paraId="6D32C33D" w14:textId="77777777" w:rsidR="006B6DAF" w:rsidRDefault="006B6DAF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Dates the RFQ was posted _________________________________________________</w:t>
            </w:r>
          </w:p>
        </w:tc>
        <w:tc>
          <w:tcPr>
            <w:tcW w:w="840" w:type="dxa"/>
            <w:vAlign w:val="center"/>
          </w:tcPr>
          <w:p w14:paraId="4F78E39C" w14:textId="77777777" w:rsidR="006B6DAF" w:rsidRPr="001B4BFF" w:rsidRDefault="006B6DAF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90867" w:rsidRPr="00101976" w14:paraId="02589F49" w14:textId="77777777" w:rsidTr="006B6DAF">
        <w:tc>
          <w:tcPr>
            <w:tcW w:w="1764" w:type="dxa"/>
            <w:vMerge w:val="restart"/>
          </w:tcPr>
          <w:p w14:paraId="5B9D324B" w14:textId="77777777" w:rsidR="00290867" w:rsidRDefault="0029086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LPA collect Letters of Interest</w:t>
            </w:r>
          </w:p>
        </w:tc>
        <w:tc>
          <w:tcPr>
            <w:tcW w:w="8400" w:type="dxa"/>
            <w:vAlign w:val="center"/>
          </w:tcPr>
          <w:p w14:paraId="389F5012" w14:textId="77777777" w:rsidR="00290867" w:rsidRDefault="00290867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LPA to gather up all letter of interest submitted after the </w:t>
            </w:r>
            <w:proofErr w:type="gramStart"/>
            <w:r>
              <w:rPr>
                <w:sz w:val="18"/>
              </w:rPr>
              <w:t>14 day</w:t>
            </w:r>
            <w:proofErr w:type="gramEnd"/>
            <w:r>
              <w:rPr>
                <w:sz w:val="18"/>
              </w:rPr>
              <w:t xml:space="preserve"> notification has expired.</w:t>
            </w:r>
          </w:p>
        </w:tc>
        <w:tc>
          <w:tcPr>
            <w:tcW w:w="840" w:type="dxa"/>
            <w:vAlign w:val="center"/>
          </w:tcPr>
          <w:p w14:paraId="52CFA0CC" w14:textId="77777777" w:rsidR="00290867" w:rsidRPr="001B4BFF" w:rsidRDefault="0029086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290867" w:rsidRPr="00101976" w14:paraId="1C58DA96" w14:textId="77777777" w:rsidTr="006B6DAF">
        <w:tc>
          <w:tcPr>
            <w:tcW w:w="1764" w:type="dxa"/>
            <w:vMerge/>
          </w:tcPr>
          <w:p w14:paraId="1CE35996" w14:textId="77777777" w:rsidR="00290867" w:rsidRDefault="00290867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58F08D76" w14:textId="77777777" w:rsidR="00290867" w:rsidRDefault="00290867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received 3 or more letters of interest.  If not, consider re-advertising.</w:t>
            </w:r>
          </w:p>
        </w:tc>
        <w:tc>
          <w:tcPr>
            <w:tcW w:w="840" w:type="dxa"/>
            <w:vAlign w:val="center"/>
          </w:tcPr>
          <w:p w14:paraId="1F6FBAAA" w14:textId="77777777" w:rsidR="00290867" w:rsidRPr="001B4BFF" w:rsidRDefault="0029086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</w:tbl>
    <w:p w14:paraId="17C66344" w14:textId="77777777" w:rsidR="006629B0" w:rsidRDefault="006629B0">
      <w:r>
        <w:br w:type="page"/>
      </w:r>
    </w:p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0"/>
        <w:gridCol w:w="8338"/>
        <w:gridCol w:w="836"/>
      </w:tblGrid>
      <w:tr w:rsidR="008C7492" w:rsidRPr="00101976" w14:paraId="388A7467" w14:textId="77777777" w:rsidTr="006B6DAF">
        <w:tc>
          <w:tcPr>
            <w:tcW w:w="1764" w:type="dxa"/>
            <w:vMerge w:val="restart"/>
          </w:tcPr>
          <w:p w14:paraId="30DAF914" w14:textId="77777777" w:rsidR="008C7492" w:rsidRDefault="008C7492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lastRenderedPageBreak/>
              <w:t>LPA to rate the firms</w:t>
            </w:r>
          </w:p>
        </w:tc>
        <w:tc>
          <w:tcPr>
            <w:tcW w:w="8400" w:type="dxa"/>
            <w:vAlign w:val="center"/>
          </w:tcPr>
          <w:p w14:paraId="5B9231C8" w14:textId="77777777" w:rsidR="008C7492" w:rsidRDefault="008C7492" w:rsidP="00C72A4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Rate </w:t>
            </w:r>
            <w:r w:rsidR="00C72A48" w:rsidRPr="00C72A48">
              <w:rPr>
                <w:sz w:val="18"/>
                <w:u w:val="single"/>
              </w:rPr>
              <w:t>at least 3</w:t>
            </w:r>
            <w:r w:rsidR="00C72A48" w:rsidRPr="00C72A48">
              <w:rPr>
                <w:sz w:val="18"/>
              </w:rPr>
              <w:t xml:space="preserve"> </w:t>
            </w:r>
            <w:r w:rsidRPr="00C72A48">
              <w:rPr>
                <w:sz w:val="18"/>
              </w:rPr>
              <w:t>f</w:t>
            </w:r>
            <w:r>
              <w:rPr>
                <w:sz w:val="18"/>
              </w:rPr>
              <w:t>irms</w:t>
            </w:r>
            <w:r w:rsidR="00C72A48">
              <w:rPr>
                <w:sz w:val="18"/>
              </w:rPr>
              <w:t xml:space="preserve"> that submitted letters of interest.  It is recommended that the LPA rate 6 or 7 firms if applicable.</w:t>
            </w:r>
            <w:r>
              <w:rPr>
                <w:sz w:val="18"/>
              </w:rPr>
              <w:t xml:space="preserve"> (MoDOT cannot rate the firms)</w:t>
            </w:r>
          </w:p>
        </w:tc>
        <w:tc>
          <w:tcPr>
            <w:tcW w:w="840" w:type="dxa"/>
            <w:vAlign w:val="center"/>
          </w:tcPr>
          <w:p w14:paraId="128CA45E" w14:textId="77777777"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C7492" w:rsidRPr="00101976" w14:paraId="57F5DE7F" w14:textId="77777777" w:rsidTr="006B6DAF">
        <w:tc>
          <w:tcPr>
            <w:tcW w:w="1764" w:type="dxa"/>
            <w:vMerge/>
          </w:tcPr>
          <w:p w14:paraId="32A06D7C" w14:textId="77777777" w:rsidR="008C7492" w:rsidRDefault="008C749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4F94EE43" w14:textId="77777777" w:rsidR="008C7492" w:rsidRDefault="008C7492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Add up all scores and determine at least the 3 most qualified firms for consideration.</w:t>
            </w:r>
          </w:p>
        </w:tc>
        <w:tc>
          <w:tcPr>
            <w:tcW w:w="840" w:type="dxa"/>
            <w:vAlign w:val="center"/>
          </w:tcPr>
          <w:p w14:paraId="1F854D5E" w14:textId="77777777"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C7492" w:rsidRPr="00101976" w14:paraId="16FF8898" w14:textId="77777777" w:rsidTr="006B6DAF">
        <w:tc>
          <w:tcPr>
            <w:tcW w:w="1764" w:type="dxa"/>
            <w:vMerge/>
          </w:tcPr>
          <w:p w14:paraId="0E6595B1" w14:textId="77777777" w:rsidR="008C7492" w:rsidRDefault="008C749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6A2C5BD3" w14:textId="77777777" w:rsidR="008C7492" w:rsidRDefault="008C7492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Hold personal interviews with top 3 rated firms (optional)</w:t>
            </w:r>
          </w:p>
        </w:tc>
        <w:tc>
          <w:tcPr>
            <w:tcW w:w="840" w:type="dxa"/>
            <w:vAlign w:val="center"/>
          </w:tcPr>
          <w:p w14:paraId="42CB9428" w14:textId="77777777"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8C7492" w:rsidRPr="00101976" w14:paraId="0C6F17D8" w14:textId="77777777" w:rsidTr="006B6DAF">
        <w:tc>
          <w:tcPr>
            <w:tcW w:w="1764" w:type="dxa"/>
            <w:vMerge/>
          </w:tcPr>
          <w:p w14:paraId="6427DC53" w14:textId="77777777" w:rsidR="008C7492" w:rsidRDefault="008C7492" w:rsidP="001B4BFF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683C4354" w14:textId="77777777" w:rsidR="008C7492" w:rsidRDefault="008C7492" w:rsidP="006B6DA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Select most qualified firm</w:t>
            </w:r>
          </w:p>
        </w:tc>
        <w:tc>
          <w:tcPr>
            <w:tcW w:w="840" w:type="dxa"/>
            <w:vAlign w:val="center"/>
          </w:tcPr>
          <w:p w14:paraId="6AEFCBEC" w14:textId="77777777" w:rsidR="008C7492" w:rsidRPr="001B4BFF" w:rsidRDefault="008C7492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5F2C5F" w:rsidRPr="00101976" w14:paraId="524299BF" w14:textId="77777777" w:rsidTr="001B4BFF">
        <w:tc>
          <w:tcPr>
            <w:tcW w:w="1764" w:type="dxa"/>
          </w:tcPr>
          <w:p w14:paraId="1CF27DBB" w14:textId="77777777" w:rsidR="005F2C5F" w:rsidRPr="001B4BFF" w:rsidRDefault="005F2C5F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LPA verifications</w:t>
            </w:r>
          </w:p>
        </w:tc>
        <w:tc>
          <w:tcPr>
            <w:tcW w:w="8400" w:type="dxa"/>
          </w:tcPr>
          <w:p w14:paraId="1DCE349F" w14:textId="77777777" w:rsidR="005F2C5F" w:rsidRPr="001B4BFF" w:rsidRDefault="005F2C5F" w:rsidP="00DA05C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LPA to verify that selected firm </w:t>
            </w:r>
            <w:r w:rsidR="00A56EB4">
              <w:rPr>
                <w:sz w:val="18"/>
              </w:rPr>
              <w:t xml:space="preserve">is prequalified with MoDOT.  </w:t>
            </w:r>
            <w:r w:rsidR="00DA05CD">
              <w:rPr>
                <w:sz w:val="18"/>
              </w:rPr>
              <w:t>For the most up-to-date list visit</w:t>
            </w:r>
            <w:r w:rsidR="00A56EB4">
              <w:rPr>
                <w:sz w:val="18"/>
              </w:rPr>
              <w:t xml:space="preserve"> </w:t>
            </w:r>
            <w:hyperlink r:id="rId10" w:history="1">
              <w:r w:rsidR="00A56EB4" w:rsidRPr="00580B19">
                <w:rPr>
                  <w:rStyle w:val="Hyperlink"/>
                  <w:sz w:val="18"/>
                </w:rPr>
                <w:t xml:space="preserve">MoDOT’s Approved </w:t>
              </w:r>
              <w:r w:rsidR="00A56EB4" w:rsidRPr="00580B19">
                <w:rPr>
                  <w:rStyle w:val="Hyperlink"/>
                  <w:sz w:val="18"/>
                </w:rPr>
                <w:t>C</w:t>
              </w:r>
              <w:r w:rsidR="00A56EB4" w:rsidRPr="00580B19">
                <w:rPr>
                  <w:rStyle w:val="Hyperlink"/>
                  <w:sz w:val="18"/>
                </w:rPr>
                <w:t>onsultant List</w:t>
              </w:r>
            </w:hyperlink>
            <w:r w:rsidR="00A56EB4">
              <w:rPr>
                <w:sz w:val="18"/>
              </w:rPr>
              <w:t>.</w:t>
            </w:r>
          </w:p>
        </w:tc>
        <w:tc>
          <w:tcPr>
            <w:tcW w:w="840" w:type="dxa"/>
            <w:vAlign w:val="center"/>
          </w:tcPr>
          <w:p w14:paraId="0AC56865" w14:textId="77777777" w:rsidR="005F2C5F" w:rsidRPr="001B4BFF" w:rsidRDefault="005F2C5F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01976" w14:paraId="72291A08" w14:textId="77777777" w:rsidTr="001B4BFF">
        <w:tc>
          <w:tcPr>
            <w:tcW w:w="1764" w:type="dxa"/>
          </w:tcPr>
          <w:p w14:paraId="601110EC" w14:textId="77777777" w:rsidR="00066A49" w:rsidRPr="001B4BFF" w:rsidRDefault="00FB09BD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 xml:space="preserve"> Engineering Contract Negotiations</w:t>
            </w:r>
          </w:p>
        </w:tc>
        <w:tc>
          <w:tcPr>
            <w:tcW w:w="8400" w:type="dxa"/>
          </w:tcPr>
          <w:p w14:paraId="09C31417" w14:textId="77777777" w:rsidR="00066A49" w:rsidRPr="001B4BFF" w:rsidRDefault="00FB09BD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negotiates Engineering Services Contract (ESC) with selected firm</w:t>
            </w:r>
            <w:r w:rsidRPr="00FB09BD">
              <w:rPr>
                <w:b/>
                <w:sz w:val="18"/>
              </w:rPr>
              <w:t>.  **NOTE: the LPA and the selected firm cannot negotiate any new scope into the contract that was not advertised in the RFQ**</w:t>
            </w:r>
          </w:p>
        </w:tc>
        <w:tc>
          <w:tcPr>
            <w:tcW w:w="840" w:type="dxa"/>
            <w:vAlign w:val="center"/>
          </w:tcPr>
          <w:p w14:paraId="1BE66E7B" w14:textId="77777777"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629B0" w:rsidRPr="00101976" w14:paraId="6234F949" w14:textId="77777777" w:rsidTr="00FB09BD">
        <w:tc>
          <w:tcPr>
            <w:tcW w:w="1764" w:type="dxa"/>
            <w:vMerge w:val="restart"/>
          </w:tcPr>
          <w:p w14:paraId="2DD88B56" w14:textId="5B881323" w:rsidR="006629B0" w:rsidRPr="001B4BFF" w:rsidRDefault="006629B0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 xml:space="preserve">Engineering Contract </w:t>
            </w:r>
            <w:r w:rsidR="00C633B6">
              <w:rPr>
                <w:b/>
                <w:color w:val="003366"/>
                <w:sz w:val="18"/>
              </w:rPr>
              <w:t>Completion</w:t>
            </w:r>
          </w:p>
        </w:tc>
        <w:tc>
          <w:tcPr>
            <w:tcW w:w="8400" w:type="dxa"/>
            <w:vAlign w:val="center"/>
          </w:tcPr>
          <w:p w14:paraId="67662168" w14:textId="50A90BB5" w:rsidR="006629B0" w:rsidRPr="001B4BFF" w:rsidRDefault="006629B0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&amp; selected firm fill out ESC (Fig 136.4.1)</w:t>
            </w:r>
            <w:r w:rsidR="00C633B6">
              <w:rPr>
                <w:sz w:val="18"/>
              </w:rPr>
              <w:t>.</w:t>
            </w:r>
          </w:p>
        </w:tc>
        <w:tc>
          <w:tcPr>
            <w:tcW w:w="840" w:type="dxa"/>
            <w:vAlign w:val="center"/>
          </w:tcPr>
          <w:p w14:paraId="541C7157" w14:textId="77777777" w:rsidR="006629B0" w:rsidRPr="001B4BFF" w:rsidRDefault="006629B0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6629B0" w:rsidRPr="00101976" w14:paraId="1FADBF76" w14:textId="77777777" w:rsidTr="00FB09BD">
        <w:tc>
          <w:tcPr>
            <w:tcW w:w="1764" w:type="dxa"/>
            <w:vMerge/>
          </w:tcPr>
          <w:p w14:paraId="254C47D4" w14:textId="77777777" w:rsidR="006629B0" w:rsidRDefault="006629B0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7A6C4F7A" w14:textId="77777777" w:rsidR="006629B0" w:rsidRDefault="006629B0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If the consultant and LPA choose not to use Fig 136.4.1 (template contract), then the LPA and Consultant must fill out and sign the </w:t>
            </w:r>
            <w:proofErr w:type="gramStart"/>
            <w:r>
              <w:rPr>
                <w:sz w:val="18"/>
              </w:rPr>
              <w:t>Conflict of Interest</w:t>
            </w:r>
            <w:proofErr w:type="gramEnd"/>
            <w:r>
              <w:rPr>
                <w:sz w:val="18"/>
              </w:rPr>
              <w:t xml:space="preserve"> Disclosure Form Fig 136.4.15</w:t>
            </w:r>
          </w:p>
        </w:tc>
        <w:tc>
          <w:tcPr>
            <w:tcW w:w="840" w:type="dxa"/>
            <w:vAlign w:val="center"/>
          </w:tcPr>
          <w:p w14:paraId="2831F5C1" w14:textId="77777777" w:rsidR="006629B0" w:rsidRPr="001B4BFF" w:rsidRDefault="006629B0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14:paraId="09EBC701" w14:textId="77777777" w:rsidTr="00FB09BD">
        <w:tc>
          <w:tcPr>
            <w:tcW w:w="1764" w:type="dxa"/>
            <w:vMerge w:val="restart"/>
          </w:tcPr>
          <w:p w14:paraId="6796DD3E" w14:textId="77777777"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Engineering Contract Submittal to MoDOT</w:t>
            </w:r>
          </w:p>
        </w:tc>
        <w:tc>
          <w:tcPr>
            <w:tcW w:w="8400" w:type="dxa"/>
            <w:vAlign w:val="center"/>
          </w:tcPr>
          <w:p w14:paraId="21B28963" w14:textId="0032FD9E" w:rsidR="00053E87" w:rsidRDefault="00053E87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Submit </w:t>
            </w:r>
            <w:r w:rsidR="00F333B9" w:rsidRPr="00C633B6">
              <w:rPr>
                <w:b/>
                <w:bCs/>
                <w:sz w:val="18"/>
              </w:rPr>
              <w:t>Une</w:t>
            </w:r>
            <w:r w:rsidRPr="00C633B6">
              <w:rPr>
                <w:b/>
                <w:bCs/>
                <w:sz w:val="18"/>
              </w:rPr>
              <w:t>xecuted</w:t>
            </w:r>
            <w:r>
              <w:rPr>
                <w:sz w:val="18"/>
              </w:rPr>
              <w:t xml:space="preserve"> Engineering Services Contract</w:t>
            </w:r>
          </w:p>
        </w:tc>
        <w:tc>
          <w:tcPr>
            <w:tcW w:w="840" w:type="dxa"/>
            <w:vAlign w:val="center"/>
          </w:tcPr>
          <w:p w14:paraId="594D6A17" w14:textId="77777777"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14:paraId="2CBD0019" w14:textId="77777777" w:rsidTr="00FB09BD">
        <w:tc>
          <w:tcPr>
            <w:tcW w:w="1764" w:type="dxa"/>
            <w:vMerge/>
          </w:tcPr>
          <w:p w14:paraId="353E3241" w14:textId="77777777"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2E1AA6A1" w14:textId="77777777" w:rsidR="00053E87" w:rsidRDefault="00053E87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If the contract in Fig 136.4.1 is not used, a statement from the LPA verifying that they understand increased liability and if federal and state requirements are not followed, federal funds could be jeopardized.</w:t>
            </w:r>
          </w:p>
        </w:tc>
        <w:tc>
          <w:tcPr>
            <w:tcW w:w="840" w:type="dxa"/>
            <w:vAlign w:val="center"/>
          </w:tcPr>
          <w:p w14:paraId="4F773F1C" w14:textId="77777777"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14:paraId="3BDD7547" w14:textId="77777777" w:rsidTr="00FB09BD">
        <w:tc>
          <w:tcPr>
            <w:tcW w:w="1764" w:type="dxa"/>
            <w:vMerge/>
          </w:tcPr>
          <w:p w14:paraId="69B97A46" w14:textId="77777777"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0B94BC4E" w14:textId="77777777" w:rsidR="00053E87" w:rsidRDefault="00053E87" w:rsidP="00FB09BD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statement regarding the necessity to utilize a consultant for performing the work.</w:t>
            </w:r>
          </w:p>
        </w:tc>
        <w:tc>
          <w:tcPr>
            <w:tcW w:w="840" w:type="dxa"/>
            <w:vAlign w:val="center"/>
          </w:tcPr>
          <w:p w14:paraId="6408ACE3" w14:textId="77777777"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14:paraId="224F4738" w14:textId="77777777" w:rsidTr="00FB09BD">
        <w:tc>
          <w:tcPr>
            <w:tcW w:w="1764" w:type="dxa"/>
            <w:vMerge/>
          </w:tcPr>
          <w:p w14:paraId="39E90573" w14:textId="77777777"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3B82F2C1" w14:textId="77777777" w:rsidR="00053E87" w:rsidRDefault="004D2850" w:rsidP="00053E8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Submit cover letter found in Fig. 136.4.9</w:t>
            </w:r>
          </w:p>
        </w:tc>
        <w:tc>
          <w:tcPr>
            <w:tcW w:w="840" w:type="dxa"/>
            <w:vAlign w:val="center"/>
          </w:tcPr>
          <w:p w14:paraId="29A7B81F" w14:textId="77777777"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14:paraId="723386B2" w14:textId="77777777" w:rsidTr="00FB09BD">
        <w:tc>
          <w:tcPr>
            <w:tcW w:w="1764" w:type="dxa"/>
            <w:vMerge/>
          </w:tcPr>
          <w:p w14:paraId="566BED88" w14:textId="77777777"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05847179" w14:textId="77777777" w:rsidR="00053E87" w:rsidRDefault="00053E87" w:rsidP="00053E87">
            <w:pPr>
              <w:spacing w:before="60" w:after="60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14:paraId="4501D41F" w14:textId="77777777"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053E87" w:rsidRPr="00101976" w14:paraId="1117026C" w14:textId="77777777" w:rsidTr="00FB09BD">
        <w:tc>
          <w:tcPr>
            <w:tcW w:w="1764" w:type="dxa"/>
            <w:vMerge/>
          </w:tcPr>
          <w:p w14:paraId="3DC347E9" w14:textId="77777777"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07AA8931" w14:textId="77777777" w:rsidR="00053E87" w:rsidRDefault="00053E87" w:rsidP="00053E8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Confirmation that Statement of Qualifications (SOQ) was received from firms who submitted letters of interest, if not already on file with the LPA.</w:t>
            </w:r>
          </w:p>
        </w:tc>
        <w:tc>
          <w:tcPr>
            <w:tcW w:w="840" w:type="dxa"/>
            <w:vAlign w:val="center"/>
          </w:tcPr>
          <w:p w14:paraId="345DE495" w14:textId="77777777"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14:paraId="78ACBE61" w14:textId="77777777" w:rsidTr="00FB09BD">
        <w:tc>
          <w:tcPr>
            <w:tcW w:w="1764" w:type="dxa"/>
            <w:vMerge/>
          </w:tcPr>
          <w:p w14:paraId="3AC497FE" w14:textId="77777777"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2307ABF0" w14:textId="77777777" w:rsidR="00053E87" w:rsidRDefault="00053E87" w:rsidP="00053E8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Submit all rating sheets used in the selection of firms.</w:t>
            </w:r>
          </w:p>
        </w:tc>
        <w:tc>
          <w:tcPr>
            <w:tcW w:w="840" w:type="dxa"/>
            <w:vAlign w:val="center"/>
          </w:tcPr>
          <w:p w14:paraId="785BE6A8" w14:textId="77777777"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53E87" w:rsidRPr="00101976" w14:paraId="52245E46" w14:textId="77777777" w:rsidTr="00FB09BD">
        <w:tc>
          <w:tcPr>
            <w:tcW w:w="1764" w:type="dxa"/>
            <w:vMerge/>
          </w:tcPr>
          <w:p w14:paraId="1610791D" w14:textId="77777777" w:rsidR="00053E87" w:rsidRDefault="00053E87" w:rsidP="00FB09BD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14:paraId="11031A57" w14:textId="77777777" w:rsidR="00053E87" w:rsidRDefault="00053E87" w:rsidP="00053E8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Submit rating criteria used in the selection of firms</w:t>
            </w:r>
            <w:r w:rsidRPr="00053E87">
              <w:rPr>
                <w:b/>
                <w:sz w:val="18"/>
              </w:rPr>
              <w:t>.  **NOTE This should match the criteria that was advertised in the RFQ.</w:t>
            </w:r>
          </w:p>
        </w:tc>
        <w:tc>
          <w:tcPr>
            <w:tcW w:w="840" w:type="dxa"/>
            <w:vAlign w:val="center"/>
          </w:tcPr>
          <w:p w14:paraId="3F16360D" w14:textId="77777777" w:rsidR="00053E87" w:rsidRPr="001B4BFF" w:rsidRDefault="00053E87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C633B6" w:rsidRPr="00101976" w14:paraId="5DDD92C5" w14:textId="77777777" w:rsidTr="001B4BFF">
        <w:tc>
          <w:tcPr>
            <w:tcW w:w="1764" w:type="dxa"/>
          </w:tcPr>
          <w:p w14:paraId="2936AFC3" w14:textId="297140F9" w:rsidR="00C633B6" w:rsidRDefault="00C633B6" w:rsidP="00053E8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Engineering Contract Execution</w:t>
            </w:r>
          </w:p>
        </w:tc>
        <w:tc>
          <w:tcPr>
            <w:tcW w:w="8400" w:type="dxa"/>
          </w:tcPr>
          <w:p w14:paraId="32018756" w14:textId="489D0D55" w:rsidR="00C633B6" w:rsidRDefault="00C633B6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Consultant and LPA execute contract and submit to MoDOT District Representative.</w:t>
            </w:r>
          </w:p>
        </w:tc>
        <w:tc>
          <w:tcPr>
            <w:tcW w:w="840" w:type="dxa"/>
            <w:vAlign w:val="center"/>
          </w:tcPr>
          <w:p w14:paraId="7FB1AA42" w14:textId="6801FEA0" w:rsidR="00C633B6" w:rsidRPr="001B4BFF" w:rsidRDefault="00C633B6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066A49" w:rsidRPr="00101976" w14:paraId="31E545BF" w14:textId="77777777" w:rsidTr="001B4BFF">
        <w:tc>
          <w:tcPr>
            <w:tcW w:w="1764" w:type="dxa"/>
          </w:tcPr>
          <w:p w14:paraId="58417D31" w14:textId="77777777" w:rsidR="00066A49" w:rsidRPr="001B4BFF" w:rsidRDefault="00053E87" w:rsidP="00053E8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color w:val="003366"/>
                <w:sz w:val="18"/>
              </w:rPr>
              <w:t>Notice to Proceed</w:t>
            </w:r>
          </w:p>
        </w:tc>
        <w:tc>
          <w:tcPr>
            <w:tcW w:w="8400" w:type="dxa"/>
          </w:tcPr>
          <w:p w14:paraId="636CB1DE" w14:textId="77777777" w:rsidR="003855CF" w:rsidRPr="001B4BFF" w:rsidRDefault="00053E87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LPA shall not give the firm notice to proceed until FHWA has given funding obligation.  MoDOT District Representative will notify the LPA when FHWA has done this.  **NOTE: Any work performed PRIOR to PE funding obligation will not be eligible for Federal reimbursement.</w:t>
            </w:r>
          </w:p>
        </w:tc>
        <w:tc>
          <w:tcPr>
            <w:tcW w:w="840" w:type="dxa"/>
            <w:vAlign w:val="center"/>
          </w:tcPr>
          <w:p w14:paraId="5BF06F28" w14:textId="77777777"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</w:tbl>
    <w:p w14:paraId="43B17FA9" w14:textId="77777777" w:rsidR="001F0083" w:rsidRPr="00101976" w:rsidRDefault="001F0083" w:rsidP="00101976">
      <w:r w:rsidRPr="00101976">
        <w:tab/>
      </w:r>
    </w:p>
    <w:sectPr w:rsidR="001F0083" w:rsidRPr="00101976" w:rsidSect="00737E0F">
      <w:footerReference w:type="default" r:id="rId11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B109" w14:textId="77777777" w:rsidR="00C51D6E" w:rsidRDefault="00C51D6E">
      <w:pPr>
        <w:spacing w:line="20" w:lineRule="exact"/>
      </w:pPr>
    </w:p>
  </w:endnote>
  <w:endnote w:type="continuationSeparator" w:id="0">
    <w:p w14:paraId="60434175" w14:textId="77777777" w:rsidR="00C51D6E" w:rsidRDefault="00C51D6E">
      <w:r>
        <w:t xml:space="preserve"> </w:t>
      </w:r>
    </w:p>
  </w:endnote>
  <w:endnote w:type="continuationNotice" w:id="1">
    <w:p w14:paraId="35DBDDB7" w14:textId="77777777" w:rsidR="00C51D6E" w:rsidRDefault="00C51D6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E932" w14:textId="30D573BC" w:rsidR="00693E25" w:rsidRPr="00233773" w:rsidRDefault="00C633B6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ptab w:relativeTo="margin" w:alignment="center" w:leader="none"/>
    </w:r>
    <w:r>
      <w:ptab w:relativeTo="margin" w:alignment="right" w:leader="none"/>
    </w:r>
    <w:r>
      <w:t>Rev 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BF7C" w14:textId="77777777" w:rsidR="00C51D6E" w:rsidRDefault="00C51D6E">
      <w:r>
        <w:separator/>
      </w:r>
    </w:p>
  </w:footnote>
  <w:footnote w:type="continuationSeparator" w:id="0">
    <w:p w14:paraId="6DC7FF33" w14:textId="77777777" w:rsidR="00C51D6E" w:rsidRDefault="00C5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9C"/>
    <w:rsid w:val="00006252"/>
    <w:rsid w:val="00030C07"/>
    <w:rsid w:val="0003187F"/>
    <w:rsid w:val="00050936"/>
    <w:rsid w:val="00053E87"/>
    <w:rsid w:val="00066A49"/>
    <w:rsid w:val="00086699"/>
    <w:rsid w:val="00087EF0"/>
    <w:rsid w:val="000A48F6"/>
    <w:rsid w:val="000C7B8D"/>
    <w:rsid w:val="000C7CE4"/>
    <w:rsid w:val="000E2BDD"/>
    <w:rsid w:val="000F01DA"/>
    <w:rsid w:val="000F3EB5"/>
    <w:rsid w:val="00101976"/>
    <w:rsid w:val="00170982"/>
    <w:rsid w:val="00171494"/>
    <w:rsid w:val="00177B06"/>
    <w:rsid w:val="001B4BFF"/>
    <w:rsid w:val="001B65C2"/>
    <w:rsid w:val="001F0083"/>
    <w:rsid w:val="002001D7"/>
    <w:rsid w:val="00214811"/>
    <w:rsid w:val="0021500A"/>
    <w:rsid w:val="00231183"/>
    <w:rsid w:val="00231CC1"/>
    <w:rsid w:val="00233773"/>
    <w:rsid w:val="002420C0"/>
    <w:rsid w:val="00242B4D"/>
    <w:rsid w:val="0025561E"/>
    <w:rsid w:val="00261371"/>
    <w:rsid w:val="0027228C"/>
    <w:rsid w:val="002801DB"/>
    <w:rsid w:val="00284167"/>
    <w:rsid w:val="00290867"/>
    <w:rsid w:val="002A7D7F"/>
    <w:rsid w:val="002C45D3"/>
    <w:rsid w:val="002D00FB"/>
    <w:rsid w:val="002D3E60"/>
    <w:rsid w:val="002F1645"/>
    <w:rsid w:val="00300F87"/>
    <w:rsid w:val="0032411C"/>
    <w:rsid w:val="0037031E"/>
    <w:rsid w:val="003855CF"/>
    <w:rsid w:val="003856E3"/>
    <w:rsid w:val="00386B43"/>
    <w:rsid w:val="003B0B15"/>
    <w:rsid w:val="003B3A75"/>
    <w:rsid w:val="003C5795"/>
    <w:rsid w:val="003D7BE3"/>
    <w:rsid w:val="003F2F29"/>
    <w:rsid w:val="00401E94"/>
    <w:rsid w:val="00405287"/>
    <w:rsid w:val="00425E65"/>
    <w:rsid w:val="004446E1"/>
    <w:rsid w:val="004B05CD"/>
    <w:rsid w:val="004D2850"/>
    <w:rsid w:val="004D549C"/>
    <w:rsid w:val="004E14F3"/>
    <w:rsid w:val="004F04DC"/>
    <w:rsid w:val="005334A1"/>
    <w:rsid w:val="0053784F"/>
    <w:rsid w:val="00552199"/>
    <w:rsid w:val="00562861"/>
    <w:rsid w:val="00566D24"/>
    <w:rsid w:val="00571E71"/>
    <w:rsid w:val="00572C38"/>
    <w:rsid w:val="005751FE"/>
    <w:rsid w:val="00575DB7"/>
    <w:rsid w:val="00577FE3"/>
    <w:rsid w:val="00580B19"/>
    <w:rsid w:val="00583AA7"/>
    <w:rsid w:val="005A2106"/>
    <w:rsid w:val="005A2DC8"/>
    <w:rsid w:val="005A5AC4"/>
    <w:rsid w:val="005A6D9A"/>
    <w:rsid w:val="005B198D"/>
    <w:rsid w:val="005E38EA"/>
    <w:rsid w:val="005E57D2"/>
    <w:rsid w:val="005E7C6C"/>
    <w:rsid w:val="005F2C5F"/>
    <w:rsid w:val="005F386A"/>
    <w:rsid w:val="00605726"/>
    <w:rsid w:val="00631E44"/>
    <w:rsid w:val="006357D0"/>
    <w:rsid w:val="0066237E"/>
    <w:rsid w:val="006629B0"/>
    <w:rsid w:val="0067005F"/>
    <w:rsid w:val="00673BE2"/>
    <w:rsid w:val="006829BD"/>
    <w:rsid w:val="00693E25"/>
    <w:rsid w:val="00695B71"/>
    <w:rsid w:val="006B6DAF"/>
    <w:rsid w:val="006C11FD"/>
    <w:rsid w:val="006C2B44"/>
    <w:rsid w:val="006C3603"/>
    <w:rsid w:val="006C46EA"/>
    <w:rsid w:val="006C5D02"/>
    <w:rsid w:val="006C7E48"/>
    <w:rsid w:val="006D1976"/>
    <w:rsid w:val="006E28D5"/>
    <w:rsid w:val="00704098"/>
    <w:rsid w:val="007109D5"/>
    <w:rsid w:val="00711DDF"/>
    <w:rsid w:val="0073127A"/>
    <w:rsid w:val="00737E0F"/>
    <w:rsid w:val="00752362"/>
    <w:rsid w:val="007528D8"/>
    <w:rsid w:val="007577FD"/>
    <w:rsid w:val="00757B14"/>
    <w:rsid w:val="00760830"/>
    <w:rsid w:val="00764501"/>
    <w:rsid w:val="00764D0F"/>
    <w:rsid w:val="00766806"/>
    <w:rsid w:val="00766A7F"/>
    <w:rsid w:val="0077600C"/>
    <w:rsid w:val="00790EC5"/>
    <w:rsid w:val="007B6342"/>
    <w:rsid w:val="007C1713"/>
    <w:rsid w:val="007C7DEB"/>
    <w:rsid w:val="007D3CA0"/>
    <w:rsid w:val="007F5C7E"/>
    <w:rsid w:val="008003FC"/>
    <w:rsid w:val="008055A3"/>
    <w:rsid w:val="008075C7"/>
    <w:rsid w:val="00816C43"/>
    <w:rsid w:val="00821EE8"/>
    <w:rsid w:val="008227AF"/>
    <w:rsid w:val="00845392"/>
    <w:rsid w:val="008621AC"/>
    <w:rsid w:val="00870655"/>
    <w:rsid w:val="00880194"/>
    <w:rsid w:val="008872D2"/>
    <w:rsid w:val="008B197D"/>
    <w:rsid w:val="008B4AEE"/>
    <w:rsid w:val="008C2A67"/>
    <w:rsid w:val="008C7492"/>
    <w:rsid w:val="008E04B7"/>
    <w:rsid w:val="008F33F0"/>
    <w:rsid w:val="0090251E"/>
    <w:rsid w:val="00926506"/>
    <w:rsid w:val="00931509"/>
    <w:rsid w:val="00954B43"/>
    <w:rsid w:val="009573DD"/>
    <w:rsid w:val="00961F99"/>
    <w:rsid w:val="009725E2"/>
    <w:rsid w:val="00976990"/>
    <w:rsid w:val="009977A1"/>
    <w:rsid w:val="009B71C9"/>
    <w:rsid w:val="009D294F"/>
    <w:rsid w:val="009D7532"/>
    <w:rsid w:val="009F0BB5"/>
    <w:rsid w:val="009F6677"/>
    <w:rsid w:val="00A21096"/>
    <w:rsid w:val="00A311B5"/>
    <w:rsid w:val="00A350C1"/>
    <w:rsid w:val="00A45214"/>
    <w:rsid w:val="00A56EB4"/>
    <w:rsid w:val="00A73F2F"/>
    <w:rsid w:val="00A8266C"/>
    <w:rsid w:val="00A9677F"/>
    <w:rsid w:val="00AE0581"/>
    <w:rsid w:val="00AE2AEF"/>
    <w:rsid w:val="00AE5F77"/>
    <w:rsid w:val="00AE7E26"/>
    <w:rsid w:val="00B25B9A"/>
    <w:rsid w:val="00B26E15"/>
    <w:rsid w:val="00B40471"/>
    <w:rsid w:val="00B41C89"/>
    <w:rsid w:val="00B42BFB"/>
    <w:rsid w:val="00B47A5A"/>
    <w:rsid w:val="00B50D63"/>
    <w:rsid w:val="00B71469"/>
    <w:rsid w:val="00B73631"/>
    <w:rsid w:val="00B75D85"/>
    <w:rsid w:val="00B77975"/>
    <w:rsid w:val="00B8575F"/>
    <w:rsid w:val="00BB2073"/>
    <w:rsid w:val="00BC016E"/>
    <w:rsid w:val="00BE483D"/>
    <w:rsid w:val="00C032F7"/>
    <w:rsid w:val="00C064A9"/>
    <w:rsid w:val="00C11A7D"/>
    <w:rsid w:val="00C13A3F"/>
    <w:rsid w:val="00C24827"/>
    <w:rsid w:val="00C47C4B"/>
    <w:rsid w:val="00C51D6E"/>
    <w:rsid w:val="00C626BE"/>
    <w:rsid w:val="00C633B6"/>
    <w:rsid w:val="00C72A48"/>
    <w:rsid w:val="00C95AF6"/>
    <w:rsid w:val="00CB2D24"/>
    <w:rsid w:val="00CD4C44"/>
    <w:rsid w:val="00CD59A2"/>
    <w:rsid w:val="00CD6139"/>
    <w:rsid w:val="00CE1F33"/>
    <w:rsid w:val="00CF0D5E"/>
    <w:rsid w:val="00D01BD5"/>
    <w:rsid w:val="00D11668"/>
    <w:rsid w:val="00D1326B"/>
    <w:rsid w:val="00D17B1B"/>
    <w:rsid w:val="00D274C5"/>
    <w:rsid w:val="00D32CD6"/>
    <w:rsid w:val="00D47D02"/>
    <w:rsid w:val="00D52FBD"/>
    <w:rsid w:val="00D738E1"/>
    <w:rsid w:val="00D878A9"/>
    <w:rsid w:val="00DA05CD"/>
    <w:rsid w:val="00DB4F98"/>
    <w:rsid w:val="00DF049A"/>
    <w:rsid w:val="00E007DF"/>
    <w:rsid w:val="00E20E5A"/>
    <w:rsid w:val="00E26413"/>
    <w:rsid w:val="00E3389F"/>
    <w:rsid w:val="00E37F27"/>
    <w:rsid w:val="00E44B9E"/>
    <w:rsid w:val="00E55A2C"/>
    <w:rsid w:val="00E61914"/>
    <w:rsid w:val="00EA0BC3"/>
    <w:rsid w:val="00EC6DB2"/>
    <w:rsid w:val="00EE1A4B"/>
    <w:rsid w:val="00EF0F2A"/>
    <w:rsid w:val="00EF54BA"/>
    <w:rsid w:val="00F218E7"/>
    <w:rsid w:val="00F333B9"/>
    <w:rsid w:val="00F33B56"/>
    <w:rsid w:val="00F47042"/>
    <w:rsid w:val="00F66E9C"/>
    <w:rsid w:val="00F747A6"/>
    <w:rsid w:val="00FB09BD"/>
    <w:rsid w:val="00FD1C6F"/>
    <w:rsid w:val="00FE1C93"/>
    <w:rsid w:val="00FE1CBD"/>
    <w:rsid w:val="00FE50DD"/>
    <w:rsid w:val="00FF0DD9"/>
    <w:rsid w:val="00FF5188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8EFCB"/>
  <w15:docId w15:val="{C64FD0BA-E377-4CC4-AFFC-067D5EDF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C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32CD6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D32CD6"/>
    <w:pPr>
      <w:suppressAutoHyphens/>
      <w:ind w:left="2880" w:hanging="720"/>
    </w:pPr>
  </w:style>
  <w:style w:type="table" w:styleId="TableGrid">
    <w:name w:val="Table Grid"/>
    <w:basedOn w:val="TableNormal"/>
    <w:rsid w:val="00D32CD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2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32CD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32CD6"/>
    <w:rPr>
      <w:rFonts w:ascii="Times Roman" w:hAnsi="Times Roman"/>
    </w:rPr>
  </w:style>
  <w:style w:type="paragraph" w:customStyle="1" w:styleId="TemplateBody">
    <w:name w:val="Template Body"/>
    <w:basedOn w:val="Normal"/>
    <w:rsid w:val="00D32CD6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D32CD6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D32CD6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D32CD6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D32CD6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D32CD6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rsid w:val="00E20E5A"/>
    <w:rPr>
      <w:rFonts w:ascii="Arial" w:hAnsi="Arial"/>
    </w:rPr>
  </w:style>
  <w:style w:type="paragraph" w:styleId="BalloonText">
    <w:name w:val="Balloon Text"/>
    <w:basedOn w:val="Normal"/>
    <w:link w:val="BalloonTextChar"/>
    <w:rsid w:val="006357D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357D0"/>
    <w:rPr>
      <w:rFonts w:ascii="Tahoma" w:hAnsi="Tahoma" w:cs="Tahoma"/>
      <w:sz w:val="16"/>
      <w:szCs w:val="16"/>
    </w:rPr>
  </w:style>
  <w:style w:type="character" w:styleId="Hyperlink">
    <w:name w:val="Hyperlink"/>
    <w:rsid w:val="00A56EB4"/>
    <w:rPr>
      <w:color w:val="0000FF"/>
      <w:u w:val="single"/>
    </w:rPr>
  </w:style>
  <w:style w:type="character" w:styleId="FollowedHyperlink">
    <w:name w:val="FollowedHyperlink"/>
    <w:rsid w:val="009977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odot.org/consultant-prequalification-l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sj1\AppData\Roaming\Microsoft\Templates\TP0300011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C976CAED0D47B68B814360BB25E1" ma:contentTypeVersion="1" ma:contentTypeDescription="Create a new document." ma:contentTypeScope="" ma:versionID="4242e427ff4806cff35bb5f6e637b5f0">
  <xsd:schema xmlns:xsd="http://www.w3.org/2001/XMLSchema" xmlns:xs="http://www.w3.org/2001/XMLSchema" xmlns:p="http://schemas.microsoft.com/office/2006/metadata/properties" xmlns:ns2="f74bb9dd-bc32-4568-859c-2052de4b68d1" targetNamespace="http://schemas.microsoft.com/office/2006/metadata/properties" ma:root="true" ma:fieldsID="1619461e913cbb4dca71e638451ae2b1" ns2:_="">
    <xsd:import namespace="f74bb9dd-bc32-4568-859c-2052de4b68d1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b9dd-bc32-4568-859c-2052de4b68d1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f74bb9dd-bc32-4568-859c-2052de4b68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58548-0985-436A-9A7F-C5B6BA2B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bb9dd-bc32-4568-859c-2052de4b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B85C9-A33A-4F2A-AFB4-2FD0DE2F4A0C}">
  <ds:schemaRefs>
    <ds:schemaRef ds:uri="http://schemas.microsoft.com/office/2006/metadata/properties"/>
    <ds:schemaRef ds:uri="http://schemas.microsoft.com/office/infopath/2007/PartnerControls"/>
    <ds:schemaRef ds:uri="f74bb9dd-bc32-4568-859c-2052de4b68d1"/>
  </ds:schemaRefs>
</ds:datastoreItem>
</file>

<file path=customXml/itemProps3.xml><?xml version="1.0" encoding="utf-8"?>
<ds:datastoreItem xmlns:ds="http://schemas.openxmlformats.org/officeDocument/2006/customXml" ds:itemID="{2FE7FBF0-DA86-4621-82C1-1D9E677CF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TP030001190</Template>
  <TotalTime>15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4150</CharactersWithSpaces>
  <SharedDoc>false</SharedDoc>
  <HLinks>
    <vt:vector size="6" baseType="variant"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https://www.modot.org/consultant-prequalification-list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holtsj1</dc:creator>
  <cp:lastModifiedBy>LAURA S ELLEN</cp:lastModifiedBy>
  <cp:revision>3</cp:revision>
  <cp:lastPrinted>2005-10-31T23:28:00Z</cp:lastPrinted>
  <dcterms:created xsi:type="dcterms:W3CDTF">2023-02-03T14:55:00Z</dcterms:created>
  <dcterms:modified xsi:type="dcterms:W3CDTF">2023-02-03T15:31:00Z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  <property fmtid="{D5CDD505-2E9C-101B-9397-08002B2CF9AE}" pid="3" name="ContentTypeId">
    <vt:lpwstr>0x01010056EBC976CAED0D47B68B814360BB25E1</vt:lpwstr>
  </property>
</Properties>
</file>