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A7C70" w14:textId="31081FCF" w:rsidR="00E57EC6" w:rsidRDefault="00E57EC6" w:rsidP="00E57EC6">
      <w:pPr>
        <w:pStyle w:val="Title"/>
      </w:pPr>
      <w:bookmarkStart w:id="0" w:name="_GoBack"/>
      <w:r>
        <w:t xml:space="preserve">How to Use Cognos </w:t>
      </w:r>
      <w:r w:rsidR="00DA7D2D">
        <w:t>Reports</w:t>
      </w:r>
    </w:p>
    <w:bookmarkEnd w:id="0"/>
    <w:p w14:paraId="4D3A7C71" w14:textId="77777777" w:rsidR="00E57EC6" w:rsidRDefault="00E57EC6" w:rsidP="00E57EC6">
      <w:r>
        <w:t xml:space="preserve">MoDOT has a new way to Open Cognos reports from the main SharePoint Page:  </w:t>
      </w:r>
    </w:p>
    <w:p w14:paraId="4D3A7C72" w14:textId="77777777" w:rsidR="00E57EC6" w:rsidRDefault="00E57EC6" w:rsidP="00E57EC6">
      <w:pPr>
        <w:pStyle w:val="ListParagraph"/>
        <w:numPr>
          <w:ilvl w:val="0"/>
          <w:numId w:val="2"/>
        </w:numPr>
      </w:pPr>
      <w:r>
        <w:t>From the SharePoint site (</w:t>
      </w:r>
      <w:hyperlink r:id="rId9" w:history="1">
        <w:r w:rsidRPr="00B424F2">
          <w:rPr>
            <w:rStyle w:val="Hyperlink"/>
          </w:rPr>
          <w:t>http://sharepoint/Pages/Default.aspx</w:t>
        </w:r>
      </w:hyperlink>
      <w:r>
        <w:t>) select the Cognos Reporting button</w:t>
      </w:r>
    </w:p>
    <w:p w14:paraId="4D3A7C73" w14:textId="77777777" w:rsidR="00E57EC6" w:rsidRDefault="00E57EC6" w:rsidP="00E57EC6">
      <w:pPr>
        <w:jc w:val="center"/>
      </w:pPr>
      <w:r>
        <w:rPr>
          <w:noProof/>
        </w:rPr>
        <w:drawing>
          <wp:inline distT="0" distB="0" distL="0" distR="0" wp14:anchorId="4D3A7D01" wp14:editId="4D3A7D02">
            <wp:extent cx="1013216" cy="1386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13216" cy="1386840"/>
                    </a:xfrm>
                    <a:prstGeom prst="rect">
                      <a:avLst/>
                    </a:prstGeom>
                  </pic:spPr>
                </pic:pic>
              </a:graphicData>
            </a:graphic>
          </wp:inline>
        </w:drawing>
      </w:r>
    </w:p>
    <w:p w14:paraId="4D3A7C74" w14:textId="77777777" w:rsidR="00E57EC6" w:rsidRDefault="00E57EC6" w:rsidP="00E57EC6">
      <w:pPr>
        <w:pStyle w:val="ListParagraph"/>
        <w:numPr>
          <w:ilvl w:val="0"/>
          <w:numId w:val="2"/>
        </w:numPr>
      </w:pPr>
      <w:r>
        <w:t xml:space="preserve">You will be directed to a page to enter your Cognos User ID and password. If you don’t have a Cognos User ID, your supervisor needs to email </w:t>
      </w:r>
      <w:r w:rsidR="00575AF3">
        <w:t>your District IS group (ex., SLIS)</w:t>
      </w:r>
      <w:r>
        <w:t xml:space="preserve"> for </w:t>
      </w:r>
      <w:proofErr w:type="gramStart"/>
      <w:r>
        <w:t>a  S.T.A.R.T.S</w:t>
      </w:r>
      <w:proofErr w:type="gramEnd"/>
      <w:r>
        <w:t>. requesting the needed subject areas.</w:t>
      </w:r>
    </w:p>
    <w:p w14:paraId="4D3A7C75" w14:textId="77777777" w:rsidR="00E57EC6" w:rsidRDefault="00E57EC6" w:rsidP="00E57EC6">
      <w:r>
        <w:t>After you have logged in, select My Home link (if shown, otherwise, you default to the available connections for your user ID)</w:t>
      </w:r>
    </w:p>
    <w:p w14:paraId="4D3A7C76" w14:textId="77777777" w:rsidR="00E57EC6" w:rsidRDefault="00E57EC6" w:rsidP="00E57EC6">
      <w:pPr>
        <w:jc w:val="center"/>
      </w:pPr>
      <w:r>
        <w:rPr>
          <w:noProof/>
        </w:rPr>
        <w:drawing>
          <wp:inline distT="0" distB="0" distL="0" distR="0" wp14:anchorId="4D3A7D03" wp14:editId="4D3A7D04">
            <wp:extent cx="1684020" cy="148193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84020" cy="1481938"/>
                    </a:xfrm>
                    <a:prstGeom prst="rect">
                      <a:avLst/>
                    </a:prstGeom>
                  </pic:spPr>
                </pic:pic>
              </a:graphicData>
            </a:graphic>
          </wp:inline>
        </w:drawing>
      </w:r>
    </w:p>
    <w:p w14:paraId="4D3A7C77" w14:textId="77777777" w:rsidR="00E57EC6" w:rsidRDefault="00E57EC6" w:rsidP="00E57EC6">
      <w:r>
        <w:t>Navigate to the report you want to run using the folder structure similar to image below…</w:t>
      </w:r>
    </w:p>
    <w:p w14:paraId="4D3A7C78" w14:textId="77777777" w:rsidR="00E57EC6" w:rsidRDefault="00E57EC6" w:rsidP="00E57EC6">
      <w:pPr>
        <w:jc w:val="center"/>
      </w:pPr>
      <w:r>
        <w:rPr>
          <w:noProof/>
        </w:rPr>
        <w:drawing>
          <wp:inline distT="0" distB="0" distL="0" distR="0" wp14:anchorId="4D3A7D05" wp14:editId="4D3A7D06">
            <wp:extent cx="4480560" cy="2003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86238" cy="2005866"/>
                    </a:xfrm>
                    <a:prstGeom prst="rect">
                      <a:avLst/>
                    </a:prstGeom>
                  </pic:spPr>
                </pic:pic>
              </a:graphicData>
            </a:graphic>
          </wp:inline>
        </w:drawing>
      </w:r>
    </w:p>
    <w:p w14:paraId="4D3A7C79" w14:textId="77777777" w:rsidR="00E57EC6" w:rsidRDefault="00E57EC6" w:rsidP="00E57EC6">
      <w:r>
        <w:lastRenderedPageBreak/>
        <w:t>….or find a report using the search field to the right of your user ID (be sure to drop the field down to the right of the search and select the Name or Description field</w:t>
      </w:r>
    </w:p>
    <w:p w14:paraId="4D3A7C7A" w14:textId="77777777" w:rsidR="00E57EC6" w:rsidRDefault="00E57EC6" w:rsidP="00E57EC6">
      <w:r>
        <w:rPr>
          <w:noProof/>
        </w:rPr>
        <w:drawing>
          <wp:inline distT="0" distB="0" distL="0" distR="0" wp14:anchorId="4D3A7D07" wp14:editId="4D3A7D08">
            <wp:extent cx="5943600" cy="76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62000"/>
                    </a:xfrm>
                    <a:prstGeom prst="rect">
                      <a:avLst/>
                    </a:prstGeom>
                    <a:noFill/>
                    <a:ln>
                      <a:noFill/>
                    </a:ln>
                  </pic:spPr>
                </pic:pic>
              </a:graphicData>
            </a:graphic>
          </wp:inline>
        </w:drawing>
      </w:r>
    </w:p>
    <w:p w14:paraId="4D3A7C7B" w14:textId="77777777" w:rsidR="00E57EC6" w:rsidRDefault="00E57EC6" w:rsidP="00E57EC6"/>
    <w:p w14:paraId="4D3A7C7C" w14:textId="77777777" w:rsidR="00E57EC6" w:rsidRDefault="00E57EC6" w:rsidP="00E57EC6">
      <w:pPr>
        <w:rPr>
          <w:noProof/>
        </w:rPr>
      </w:pPr>
      <w:r>
        <w:t>For example a search for “change order” will return the list below.  If you need the path to the report, select the first icon under the Actions column.  This is the Set Properties and it will list the location.</w:t>
      </w:r>
    </w:p>
    <w:p w14:paraId="4D3A7C7D" w14:textId="77777777" w:rsidR="00E57EC6" w:rsidRDefault="00E57EC6" w:rsidP="00E57EC6">
      <w:r>
        <w:rPr>
          <w:noProof/>
        </w:rPr>
        <w:drawing>
          <wp:inline distT="0" distB="0" distL="0" distR="0" wp14:anchorId="4D3A7D09" wp14:editId="4D3A7D0A">
            <wp:extent cx="6319598" cy="238506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9598" cy="2385060"/>
                    </a:xfrm>
                    <a:prstGeom prst="rect">
                      <a:avLst/>
                    </a:prstGeom>
                    <a:noFill/>
                    <a:ln>
                      <a:noFill/>
                    </a:ln>
                  </pic:spPr>
                </pic:pic>
              </a:graphicData>
            </a:graphic>
          </wp:inline>
        </w:drawing>
      </w:r>
    </w:p>
    <w:p w14:paraId="4D3A7C7E" w14:textId="77777777" w:rsidR="00E57EC6" w:rsidRDefault="00E57EC6" w:rsidP="00E57EC6"/>
    <w:p w14:paraId="4D3A7C7F" w14:textId="77777777" w:rsidR="00E57EC6" w:rsidRDefault="00E57EC6" w:rsidP="00E57EC6">
      <w:r>
        <w:rPr>
          <w:noProof/>
        </w:rPr>
        <w:drawing>
          <wp:inline distT="0" distB="0" distL="0" distR="0" wp14:anchorId="4D3A7D0B" wp14:editId="4D3A7D0C">
            <wp:extent cx="5943600" cy="22555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55520"/>
                    </a:xfrm>
                    <a:prstGeom prst="rect">
                      <a:avLst/>
                    </a:prstGeom>
                    <a:noFill/>
                    <a:ln>
                      <a:noFill/>
                    </a:ln>
                  </pic:spPr>
                </pic:pic>
              </a:graphicData>
            </a:graphic>
          </wp:inline>
        </w:drawing>
      </w:r>
    </w:p>
    <w:p w14:paraId="4D3A7C80" w14:textId="77777777" w:rsidR="00E57EC6" w:rsidRDefault="00E57EC6" w:rsidP="00E57EC6"/>
    <w:p w14:paraId="4D3A7C81" w14:textId="77777777" w:rsidR="00E57EC6" w:rsidRDefault="00E57EC6" w:rsidP="00E57EC6"/>
    <w:p w14:paraId="4D3A7C82" w14:textId="77777777" w:rsidR="00E57EC6" w:rsidRDefault="00E57EC6" w:rsidP="00E57EC6">
      <w:r>
        <w:lastRenderedPageBreak/>
        <w:t>Cognos Action Icons</w:t>
      </w:r>
    </w:p>
    <w:tbl>
      <w:tblPr>
        <w:tblStyle w:val="TableGrid"/>
        <w:tblW w:w="0" w:type="auto"/>
        <w:tblLook w:val="04A0" w:firstRow="1" w:lastRow="0" w:firstColumn="1" w:lastColumn="0" w:noHBand="0" w:noVBand="1"/>
      </w:tblPr>
      <w:tblGrid>
        <w:gridCol w:w="1098"/>
        <w:gridCol w:w="8478"/>
      </w:tblGrid>
      <w:tr w:rsidR="00E57EC6" w14:paraId="4D3A7C85" w14:textId="77777777" w:rsidTr="00D30703">
        <w:tc>
          <w:tcPr>
            <w:tcW w:w="1098" w:type="dxa"/>
          </w:tcPr>
          <w:p w14:paraId="4D3A7C83" w14:textId="77777777" w:rsidR="00E57EC6" w:rsidRDefault="00E57EC6" w:rsidP="00D30703">
            <w:r>
              <w:rPr>
                <w:noProof/>
              </w:rPr>
              <w:drawing>
                <wp:inline distT="0" distB="0" distL="0" distR="0" wp14:anchorId="4D3A7D0D" wp14:editId="4D3A7D0E">
                  <wp:extent cx="2571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7175" cy="228600"/>
                          </a:xfrm>
                          <a:prstGeom prst="rect">
                            <a:avLst/>
                          </a:prstGeom>
                        </pic:spPr>
                      </pic:pic>
                    </a:graphicData>
                  </a:graphic>
                </wp:inline>
              </w:drawing>
            </w:r>
          </w:p>
        </w:tc>
        <w:tc>
          <w:tcPr>
            <w:tcW w:w="8478" w:type="dxa"/>
          </w:tcPr>
          <w:p w14:paraId="4D3A7C84" w14:textId="77777777" w:rsidR="00E57EC6" w:rsidRDefault="00E57EC6" w:rsidP="00D30703">
            <w:r>
              <w:t>Set Properties – Lists the owner, location, created/modified dates, package</w:t>
            </w:r>
          </w:p>
        </w:tc>
      </w:tr>
      <w:tr w:rsidR="00E57EC6" w14:paraId="4D3A7C88" w14:textId="77777777" w:rsidTr="00D30703">
        <w:tc>
          <w:tcPr>
            <w:tcW w:w="1098" w:type="dxa"/>
          </w:tcPr>
          <w:p w14:paraId="4D3A7C86" w14:textId="77777777" w:rsidR="00E57EC6" w:rsidRDefault="00E57EC6" w:rsidP="00D30703">
            <w:r>
              <w:rPr>
                <w:noProof/>
              </w:rPr>
              <w:drawing>
                <wp:inline distT="0" distB="0" distL="0" distR="0" wp14:anchorId="4D3A7D0F" wp14:editId="4D3A7D10">
                  <wp:extent cx="24765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7650" cy="266700"/>
                          </a:xfrm>
                          <a:prstGeom prst="rect">
                            <a:avLst/>
                          </a:prstGeom>
                        </pic:spPr>
                      </pic:pic>
                    </a:graphicData>
                  </a:graphic>
                </wp:inline>
              </w:drawing>
            </w:r>
          </w:p>
        </w:tc>
        <w:tc>
          <w:tcPr>
            <w:tcW w:w="8478" w:type="dxa"/>
          </w:tcPr>
          <w:p w14:paraId="4D3A7C87" w14:textId="77777777" w:rsidR="00E57EC6" w:rsidRDefault="00E57EC6" w:rsidP="00D30703">
            <w:r>
              <w:t>View report output versions – If the output was kept from the last execution, you can select to see the output.</w:t>
            </w:r>
          </w:p>
        </w:tc>
      </w:tr>
      <w:tr w:rsidR="00E57EC6" w14:paraId="4D3A7C8B" w14:textId="77777777" w:rsidTr="00D30703">
        <w:tc>
          <w:tcPr>
            <w:tcW w:w="1098" w:type="dxa"/>
          </w:tcPr>
          <w:p w14:paraId="4D3A7C89" w14:textId="77777777" w:rsidR="00E57EC6" w:rsidRDefault="00E57EC6" w:rsidP="00D30703">
            <w:r>
              <w:rPr>
                <w:noProof/>
              </w:rPr>
              <w:drawing>
                <wp:inline distT="0" distB="0" distL="0" distR="0" wp14:anchorId="4D3A7D11" wp14:editId="4D3A7D12">
                  <wp:extent cx="19050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0500" cy="285750"/>
                          </a:xfrm>
                          <a:prstGeom prst="rect">
                            <a:avLst/>
                          </a:prstGeom>
                        </pic:spPr>
                      </pic:pic>
                    </a:graphicData>
                  </a:graphic>
                </wp:inline>
              </w:drawing>
            </w:r>
          </w:p>
        </w:tc>
        <w:tc>
          <w:tcPr>
            <w:tcW w:w="8478" w:type="dxa"/>
          </w:tcPr>
          <w:p w14:paraId="4D3A7C8A" w14:textId="77777777" w:rsidR="00E57EC6" w:rsidRDefault="00E57EC6" w:rsidP="00D30703">
            <w:r>
              <w:t>Run with Options – In the drop down menu select HTML, PDF, or Excel.  The link for Advanced Options will let you run a very long running report in the background (freeing the Cognos screen for other work).</w:t>
            </w:r>
          </w:p>
        </w:tc>
      </w:tr>
      <w:tr w:rsidR="00E57EC6" w14:paraId="4D3A7C8E" w14:textId="77777777" w:rsidTr="00D30703">
        <w:tc>
          <w:tcPr>
            <w:tcW w:w="1098" w:type="dxa"/>
          </w:tcPr>
          <w:p w14:paraId="4D3A7C8C" w14:textId="77777777" w:rsidR="00E57EC6" w:rsidRDefault="00E57EC6" w:rsidP="00D30703">
            <w:r>
              <w:rPr>
                <w:noProof/>
              </w:rPr>
              <w:drawing>
                <wp:inline distT="0" distB="0" distL="0" distR="0" wp14:anchorId="4D3A7D13" wp14:editId="4D3A7D14">
                  <wp:extent cx="2571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7175" cy="276225"/>
                          </a:xfrm>
                          <a:prstGeom prst="rect">
                            <a:avLst/>
                          </a:prstGeom>
                        </pic:spPr>
                      </pic:pic>
                    </a:graphicData>
                  </a:graphic>
                </wp:inline>
              </w:drawing>
            </w:r>
          </w:p>
        </w:tc>
        <w:tc>
          <w:tcPr>
            <w:tcW w:w="8478" w:type="dxa"/>
          </w:tcPr>
          <w:p w14:paraId="4D3A7C8D" w14:textId="77777777" w:rsidR="00E57EC6" w:rsidRDefault="00E57EC6" w:rsidP="00D30703">
            <w:r>
              <w:t>Create a Report View - You can create a report view, which uses the same report specification as the source report, but has different properties such as prompt values, schedules, delivery methods, run options, languages, and output formats.</w:t>
            </w:r>
          </w:p>
        </w:tc>
      </w:tr>
      <w:tr w:rsidR="00E57EC6" w14:paraId="4D3A7C91" w14:textId="77777777" w:rsidTr="00D30703">
        <w:tc>
          <w:tcPr>
            <w:tcW w:w="1098" w:type="dxa"/>
          </w:tcPr>
          <w:p w14:paraId="4D3A7C8F" w14:textId="77777777" w:rsidR="00E57EC6" w:rsidRDefault="00E57EC6" w:rsidP="00D30703">
            <w:r>
              <w:rPr>
                <w:noProof/>
              </w:rPr>
              <w:drawing>
                <wp:inline distT="0" distB="0" distL="0" distR="0" wp14:anchorId="4D3A7D15" wp14:editId="4D3A7D16">
                  <wp:extent cx="21907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9075" cy="219075"/>
                          </a:xfrm>
                          <a:prstGeom prst="rect">
                            <a:avLst/>
                          </a:prstGeom>
                        </pic:spPr>
                      </pic:pic>
                    </a:graphicData>
                  </a:graphic>
                </wp:inline>
              </w:drawing>
            </w:r>
          </w:p>
        </w:tc>
        <w:tc>
          <w:tcPr>
            <w:tcW w:w="8478" w:type="dxa"/>
          </w:tcPr>
          <w:p w14:paraId="4D3A7C90" w14:textId="77777777" w:rsidR="00E57EC6" w:rsidRDefault="00E57EC6" w:rsidP="00D30703">
            <w:r>
              <w:t>Schedule – Enter the frequency.  Select Override the default values to set the format and email recipients.</w:t>
            </w:r>
          </w:p>
        </w:tc>
      </w:tr>
      <w:tr w:rsidR="00E57EC6" w14:paraId="4D3A7C94" w14:textId="77777777" w:rsidTr="00D30703">
        <w:tc>
          <w:tcPr>
            <w:tcW w:w="1098" w:type="dxa"/>
          </w:tcPr>
          <w:p w14:paraId="4D3A7C92" w14:textId="77777777" w:rsidR="00E57EC6" w:rsidRDefault="00E57EC6" w:rsidP="00D30703">
            <w:r>
              <w:rPr>
                <w:noProof/>
              </w:rPr>
              <w:drawing>
                <wp:inline distT="0" distB="0" distL="0" distR="0" wp14:anchorId="4D3A7D17" wp14:editId="4D3A7D18">
                  <wp:extent cx="4381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8150" cy="209550"/>
                          </a:xfrm>
                          <a:prstGeom prst="rect">
                            <a:avLst/>
                          </a:prstGeom>
                        </pic:spPr>
                      </pic:pic>
                    </a:graphicData>
                  </a:graphic>
                </wp:inline>
              </w:drawing>
            </w:r>
          </w:p>
        </w:tc>
        <w:tc>
          <w:tcPr>
            <w:tcW w:w="8478" w:type="dxa"/>
          </w:tcPr>
          <w:p w14:paraId="4D3A7C93" w14:textId="77777777" w:rsidR="00E57EC6" w:rsidRDefault="00E57EC6" w:rsidP="00D30703">
            <w:r>
              <w:t>List all the above actions.  It also has links for move, copy, Create a shortcut, Add to bookmarks, delete</w:t>
            </w:r>
          </w:p>
        </w:tc>
      </w:tr>
    </w:tbl>
    <w:p w14:paraId="4D3A7C95" w14:textId="77777777" w:rsidR="00E57EC6" w:rsidRDefault="00E57EC6" w:rsidP="00E57EC6"/>
    <w:p w14:paraId="4D3A7C96" w14:textId="77777777" w:rsidR="00E57EC6" w:rsidRDefault="00E57EC6" w:rsidP="00E57EC6">
      <w:r>
        <w:t>Helpful Hints</w:t>
      </w:r>
    </w:p>
    <w:p w14:paraId="4D3A7C97" w14:textId="77777777" w:rsidR="00E57EC6" w:rsidRDefault="00E57EC6" w:rsidP="00E57EC6">
      <w:pPr>
        <w:pStyle w:val="ListParagraph"/>
        <w:numPr>
          <w:ilvl w:val="0"/>
          <w:numId w:val="1"/>
        </w:numPr>
      </w:pPr>
      <w:r>
        <w:t xml:space="preserve">Preferences: By default there are 15 entries per page.  Each person can alter this for their setting only. Select the icon </w:t>
      </w:r>
      <w:r>
        <w:rPr>
          <w:noProof/>
        </w:rPr>
        <w:drawing>
          <wp:inline distT="0" distB="0" distL="0" distR="0" wp14:anchorId="4D3A7D19" wp14:editId="4D3A7D1A">
            <wp:extent cx="48577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5775" cy="390525"/>
                    </a:xfrm>
                    <a:prstGeom prst="rect">
                      <a:avLst/>
                    </a:prstGeom>
                  </pic:spPr>
                </pic:pic>
              </a:graphicData>
            </a:graphic>
          </wp:inline>
        </w:drawing>
      </w:r>
      <w:r>
        <w:t xml:space="preserve"> drop down and choose My Preferences.  You may change any information.  If you want all folders and reports on the same page, set Number of entries in list view to 999.</w:t>
      </w:r>
    </w:p>
    <w:p w14:paraId="4D3A7C98" w14:textId="77777777" w:rsidR="00E57EC6" w:rsidRDefault="00E57EC6" w:rsidP="00E57EC6">
      <w:pPr>
        <w:pStyle w:val="ListParagraph"/>
      </w:pPr>
    </w:p>
    <w:p w14:paraId="4D3A7C99" w14:textId="28510232" w:rsidR="00E57EC6" w:rsidRDefault="00E57EC6" w:rsidP="00E57EC6">
      <w:pPr>
        <w:pStyle w:val="ListParagraph"/>
        <w:numPr>
          <w:ilvl w:val="0"/>
          <w:numId w:val="1"/>
        </w:numPr>
      </w:pPr>
      <w:r>
        <w:t xml:space="preserve">Skip Welcome screen and open directly to reporting list: Navigate to the content list. Select the icon. </w:t>
      </w:r>
      <w:r>
        <w:rPr>
          <w:noProof/>
        </w:rPr>
        <w:drawing>
          <wp:inline distT="0" distB="0" distL="0" distR="0" wp14:anchorId="4D3A7D1B" wp14:editId="4D3A7D1C">
            <wp:extent cx="457200" cy="295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00" cy="295275"/>
                    </a:xfrm>
                    <a:prstGeom prst="rect">
                      <a:avLst/>
                    </a:prstGeom>
                  </pic:spPr>
                </pic:pic>
              </a:graphicData>
            </a:graphic>
          </wp:inline>
        </w:drawing>
      </w:r>
      <w:r>
        <w:t xml:space="preserve">  From the drop do</w:t>
      </w:r>
      <w:r w:rsidR="00667623">
        <w:t xml:space="preserve">wn menu select Set View as Home </w:t>
      </w:r>
      <w:r w:rsidR="00667623">
        <w:rPr>
          <w:noProof/>
        </w:rPr>
        <w:drawing>
          <wp:inline distT="0" distB="0" distL="0" distR="0" wp14:anchorId="46CDFC20" wp14:editId="476D6D3E">
            <wp:extent cx="815340" cy="527573"/>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19290" cy="530129"/>
                    </a:xfrm>
                    <a:prstGeom prst="rect">
                      <a:avLst/>
                    </a:prstGeom>
                  </pic:spPr>
                </pic:pic>
              </a:graphicData>
            </a:graphic>
          </wp:inline>
        </w:drawing>
      </w:r>
    </w:p>
    <w:p w14:paraId="4D3A7C9A" w14:textId="77777777" w:rsidR="00E57EC6" w:rsidRDefault="00E57EC6" w:rsidP="00E57EC6">
      <w:pPr>
        <w:pStyle w:val="ListParagraph"/>
      </w:pPr>
    </w:p>
    <w:p w14:paraId="4D3A7C9B" w14:textId="77777777" w:rsidR="00E57EC6" w:rsidRDefault="00E57EC6" w:rsidP="00E57EC6">
      <w:pPr>
        <w:pStyle w:val="ListParagraph"/>
        <w:numPr>
          <w:ilvl w:val="0"/>
          <w:numId w:val="1"/>
        </w:numPr>
      </w:pPr>
      <w:r>
        <w:t>My Folders: create shortcuts to reports you use frequently and organize on this tab.  If it is a shortcut, any changes made to the original report will be used.</w:t>
      </w:r>
      <w:r w:rsidR="00575AF3">
        <w:t xml:space="preserve">  </w:t>
      </w:r>
      <w:r w:rsidR="00C12E7D">
        <w:t xml:space="preserve">Navigate to and </w:t>
      </w:r>
      <w:r w:rsidR="00575AF3">
        <w:t xml:space="preserve">select the report </w:t>
      </w:r>
      <w:r w:rsidR="00575AF3">
        <w:rPr>
          <w:noProof/>
        </w:rPr>
        <w:drawing>
          <wp:inline distT="0" distB="0" distL="0" distR="0" wp14:anchorId="4D3A7D1D" wp14:editId="4D3A7D1E">
            <wp:extent cx="251460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14600" cy="274320"/>
                    </a:xfrm>
                    <a:prstGeom prst="rect">
                      <a:avLst/>
                    </a:prstGeom>
                  </pic:spPr>
                </pic:pic>
              </a:graphicData>
            </a:graphic>
          </wp:inline>
        </w:drawing>
      </w:r>
      <w:r w:rsidR="00575AF3">
        <w:t xml:space="preserve"> then </w:t>
      </w:r>
      <w:r w:rsidR="00402784">
        <w:t>“</w:t>
      </w:r>
      <w:r w:rsidR="00575AF3">
        <w:t>More</w:t>
      </w:r>
      <w:r w:rsidR="00402784">
        <w:t>” option</w:t>
      </w:r>
      <w:r w:rsidR="00575AF3">
        <w:t xml:space="preserve"> to the </w:t>
      </w:r>
      <w:proofErr w:type="gramStart"/>
      <w:r w:rsidR="00575AF3">
        <w:t xml:space="preserve">right </w:t>
      </w:r>
      <w:proofErr w:type="gramEnd"/>
      <w:r w:rsidR="00C12E7D">
        <w:rPr>
          <w:noProof/>
        </w:rPr>
        <w:drawing>
          <wp:inline distT="0" distB="0" distL="0" distR="0" wp14:anchorId="4D3A7D1F" wp14:editId="4D3A7D20">
            <wp:extent cx="457200" cy="2057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00" cy="205740"/>
                    </a:xfrm>
                    <a:prstGeom prst="rect">
                      <a:avLst/>
                    </a:prstGeom>
                  </pic:spPr>
                </pic:pic>
              </a:graphicData>
            </a:graphic>
          </wp:inline>
        </w:drawing>
      </w:r>
      <w:r w:rsidR="00402784">
        <w:t xml:space="preserve">.  Under Available Actions, </w:t>
      </w:r>
      <w:proofErr w:type="gramStart"/>
      <w:r w:rsidR="00402784">
        <w:t xml:space="preserve">select </w:t>
      </w:r>
      <w:proofErr w:type="gramEnd"/>
      <w:r w:rsidR="00402784">
        <w:rPr>
          <w:noProof/>
        </w:rPr>
        <w:drawing>
          <wp:inline distT="0" distB="0" distL="0" distR="0" wp14:anchorId="4D3A7D21" wp14:editId="4D3A7D22">
            <wp:extent cx="191262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912620" cy="228600"/>
                    </a:xfrm>
                    <a:prstGeom prst="rect">
                      <a:avLst/>
                    </a:prstGeom>
                  </pic:spPr>
                </pic:pic>
              </a:graphicData>
            </a:graphic>
          </wp:inline>
        </w:drawing>
      </w:r>
      <w:r w:rsidR="00402784">
        <w:t>.  Specify the name and location (should default to “My Folders”).</w:t>
      </w:r>
    </w:p>
    <w:p w14:paraId="4D3A7C9C" w14:textId="77777777" w:rsidR="00402784" w:rsidRDefault="00402784" w:rsidP="00E57EC6">
      <w:pPr>
        <w:pStyle w:val="ListParagraph"/>
        <w:numPr>
          <w:ilvl w:val="0"/>
          <w:numId w:val="1"/>
        </w:numPr>
      </w:pPr>
      <w:r>
        <w:t>If you run the same report over and over, but just change the ‘prompt’ information (for instance, Contract ID and Estimate Number) – you can ‘</w:t>
      </w:r>
      <w:proofErr w:type="spellStart"/>
      <w:r>
        <w:t>Reprompt</w:t>
      </w:r>
      <w:proofErr w:type="spellEnd"/>
      <w:r>
        <w:t>’ without having to close the report.  Just select the “Run Report” icon and the prompt page will come back, allowing you to change your information:</w:t>
      </w:r>
    </w:p>
    <w:p w14:paraId="4D3A7C9D" w14:textId="77777777" w:rsidR="00402784" w:rsidRDefault="00402784" w:rsidP="00D105BB">
      <w:pPr>
        <w:ind w:left="360"/>
        <w:jc w:val="center"/>
      </w:pPr>
      <w:r>
        <w:rPr>
          <w:noProof/>
        </w:rPr>
        <w:drawing>
          <wp:inline distT="0" distB="0" distL="0" distR="0" wp14:anchorId="4D3A7D23" wp14:editId="4D3A7D24">
            <wp:extent cx="4899660" cy="5527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9660" cy="552782"/>
                    </a:xfrm>
                    <a:prstGeom prst="rect">
                      <a:avLst/>
                    </a:prstGeom>
                    <a:noFill/>
                    <a:ln>
                      <a:noFill/>
                    </a:ln>
                  </pic:spPr>
                </pic:pic>
              </a:graphicData>
            </a:graphic>
          </wp:inline>
        </w:drawing>
      </w:r>
    </w:p>
    <w:p w14:paraId="4D3A7C9E" w14:textId="77777777" w:rsidR="00E57EC6" w:rsidRDefault="00402784" w:rsidP="00E57EC6">
      <w:pPr>
        <w:pStyle w:val="Title"/>
      </w:pPr>
      <w:r>
        <w:lastRenderedPageBreak/>
        <w:t>H</w:t>
      </w:r>
      <w:r w:rsidR="00E57EC6">
        <w:t>elpful Construction and Materials Reports</w:t>
      </w:r>
    </w:p>
    <w:p w14:paraId="4D3A7C9F" w14:textId="77777777" w:rsidR="00EF0095" w:rsidRDefault="00EF0095" w:rsidP="00E57EC6">
      <w:r>
        <w:t>The Cognos reports are organized to mirror the functions of SiteManager.  Reports related to those functions in SiteManager are stored in the appropriate folder location in Cognos.  They are grouped by Headquarters and Districts.  All authorized Cognos users can run any report from any location, as long as you are authorized to query the Cognos collection (</w:t>
      </w:r>
      <w:r w:rsidR="008E2304">
        <w:t>i.e.</w:t>
      </w:r>
      <w:r>
        <w:t>, SiteManager).</w:t>
      </w:r>
    </w:p>
    <w:p w14:paraId="4D3A7CA0" w14:textId="77777777" w:rsidR="00E57EC6" w:rsidRDefault="00EF0095" w:rsidP="00E57EC6">
      <w:r>
        <w:t>The Headquarters folder contains reports that apply to the entire state, and most often can be narrowed down using prompts of the report to specific Districts or Offices.  Only Headquarters Cognos Authors can save to the Headquarters folders.</w:t>
      </w:r>
    </w:p>
    <w:p w14:paraId="4D3A7CA1" w14:textId="77777777" w:rsidR="00EF0095" w:rsidRDefault="00EF0095" w:rsidP="00E57EC6">
      <w:r>
        <w:t>The District Folders normally contain customized reports for the District, or more detailed reports than what the Headquarters reports contain.  Only District Cognos Authors can save reports to their District folders.</w:t>
      </w:r>
    </w:p>
    <w:p w14:paraId="4D3A7CA2" w14:textId="3E48C8A0" w:rsidR="00EF0095" w:rsidRDefault="00DA7D2D" w:rsidP="00E57EC6">
      <w:r>
        <w:t>Cognos authors are</w:t>
      </w:r>
      <w:r w:rsidR="00882BE1">
        <w:t xml:space="preserve"> currently working on adding specific information to each report to describe the intended use and available prompts for each report.  Users can see the details by changing the view in their window to show Details:</w:t>
      </w:r>
    </w:p>
    <w:p w14:paraId="4D3A7CA3" w14:textId="77777777" w:rsidR="00882BE1" w:rsidRDefault="00882BE1" w:rsidP="00E57EC6">
      <w:r>
        <w:rPr>
          <w:noProof/>
        </w:rPr>
        <w:drawing>
          <wp:inline distT="0" distB="0" distL="0" distR="0" wp14:anchorId="4D3A7D25" wp14:editId="4D3A7D26">
            <wp:extent cx="5943600" cy="8483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848360"/>
                    </a:xfrm>
                    <a:prstGeom prst="rect">
                      <a:avLst/>
                    </a:prstGeom>
                  </pic:spPr>
                </pic:pic>
              </a:graphicData>
            </a:graphic>
          </wp:inline>
        </w:drawing>
      </w:r>
    </w:p>
    <w:p w14:paraId="4D3A7CA4" w14:textId="77777777" w:rsidR="00882BE1" w:rsidRDefault="00882BE1" w:rsidP="00E57EC6">
      <w:r>
        <w:t>This will then list the report details, if any, below the report name</w:t>
      </w:r>
    </w:p>
    <w:p w14:paraId="4D3A7CA5" w14:textId="77777777" w:rsidR="00882BE1" w:rsidRDefault="00882BE1" w:rsidP="00E57EC6">
      <w:r>
        <w:rPr>
          <w:noProof/>
        </w:rPr>
        <w:drawing>
          <wp:inline distT="0" distB="0" distL="0" distR="0" wp14:anchorId="4D3A7D27" wp14:editId="4D3A7D28">
            <wp:extent cx="5943600" cy="21844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2184400"/>
                    </a:xfrm>
                    <a:prstGeom prst="rect">
                      <a:avLst/>
                    </a:prstGeom>
                  </pic:spPr>
                </pic:pic>
              </a:graphicData>
            </a:graphic>
          </wp:inline>
        </w:drawing>
      </w:r>
    </w:p>
    <w:p w14:paraId="4D3A7CA6" w14:textId="77777777" w:rsidR="00CF6A99" w:rsidRDefault="00CF6A99" w:rsidP="00E57EC6"/>
    <w:p w14:paraId="4D3A7CA7" w14:textId="1A5C6FAB" w:rsidR="00CF6A99" w:rsidRDefault="00DA7D2D" w:rsidP="00E57EC6">
      <w:r>
        <w:lastRenderedPageBreak/>
        <w:t xml:space="preserve">The Top 20 Headquarters </w:t>
      </w:r>
      <w:r w:rsidR="00CF6A99">
        <w:t>are listed below:</w:t>
      </w:r>
    </w:p>
    <w:p w14:paraId="4D3A7CA8" w14:textId="77777777" w:rsidR="00CF6A99" w:rsidRDefault="00CF6A99" w:rsidP="00E57EC6">
      <w:r>
        <w:t>Headquarters Top 20 February 1, 2015 to April 1, 2015:</w:t>
      </w:r>
    </w:p>
    <w:tbl>
      <w:tblPr>
        <w:tblW w:w="6660" w:type="dxa"/>
        <w:tblInd w:w="93" w:type="dxa"/>
        <w:tblLook w:val="04A0" w:firstRow="1" w:lastRow="0" w:firstColumn="1" w:lastColumn="0" w:noHBand="0" w:noVBand="1"/>
      </w:tblPr>
      <w:tblGrid>
        <w:gridCol w:w="6660"/>
      </w:tblGrid>
      <w:tr w:rsidR="00CF6A99" w:rsidRPr="00CF6A99" w14:paraId="4D3A7CAA" w14:textId="77777777" w:rsidTr="00CF6A99">
        <w:trPr>
          <w:trHeight w:val="276"/>
        </w:trPr>
        <w:tc>
          <w:tcPr>
            <w:tcW w:w="6660" w:type="dxa"/>
            <w:tcBorders>
              <w:top w:val="nil"/>
              <w:left w:val="nil"/>
              <w:bottom w:val="single" w:sz="8" w:space="0" w:color="CCCCCC"/>
              <w:right w:val="nil"/>
            </w:tcBorders>
            <w:shd w:val="clear" w:color="auto" w:fill="auto"/>
            <w:noWrap/>
            <w:vAlign w:val="bottom"/>
            <w:hideMark/>
          </w:tcPr>
          <w:p w14:paraId="4D3A7CA9" w14:textId="77777777" w:rsidR="00CF6A99" w:rsidRPr="00CF6A99" w:rsidRDefault="00CF6A99" w:rsidP="00CF6A99">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Report Name</w:t>
            </w:r>
          </w:p>
        </w:tc>
      </w:tr>
      <w:tr w:rsidR="00CF6A99" w:rsidRPr="00CF6A99" w14:paraId="4D3A7CAC" w14:textId="77777777" w:rsidTr="00CF6A99">
        <w:trPr>
          <w:trHeight w:val="276"/>
        </w:trPr>
        <w:tc>
          <w:tcPr>
            <w:tcW w:w="6660" w:type="dxa"/>
            <w:tcBorders>
              <w:top w:val="single" w:sz="8" w:space="0" w:color="CCCCCC"/>
              <w:left w:val="single" w:sz="8" w:space="0" w:color="CCCCCC"/>
              <w:bottom w:val="nil"/>
              <w:right w:val="single" w:sz="8" w:space="0" w:color="CCCCCC"/>
            </w:tcBorders>
            <w:shd w:val="clear" w:color="auto" w:fill="auto"/>
            <w:noWrap/>
            <w:hideMark/>
          </w:tcPr>
          <w:p w14:paraId="4D3A7CAB"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 xml:space="preserve">QA Feed QC </w:t>
            </w:r>
            <w:proofErr w:type="spellStart"/>
            <w:r w:rsidRPr="00CF6A99">
              <w:rPr>
                <w:rFonts w:ascii="Tahoma" w:eastAsia="Times New Roman" w:hAnsi="Tahoma" w:cs="Tahoma"/>
                <w:color w:val="000000"/>
                <w:sz w:val="16"/>
                <w:szCs w:val="16"/>
              </w:rPr>
              <w:t>Superpave</w:t>
            </w:r>
            <w:proofErr w:type="spellEnd"/>
            <w:r w:rsidRPr="00CF6A99">
              <w:rPr>
                <w:rFonts w:ascii="Tahoma" w:eastAsia="Times New Roman" w:hAnsi="Tahoma" w:cs="Tahoma"/>
                <w:color w:val="000000"/>
                <w:sz w:val="16"/>
                <w:szCs w:val="16"/>
              </w:rPr>
              <w:t xml:space="preserve"> Lots</w:t>
            </w:r>
          </w:p>
        </w:tc>
      </w:tr>
      <w:tr w:rsidR="00CF6A99" w:rsidRPr="00CF6A99" w14:paraId="4D3A7CAE" w14:textId="77777777" w:rsidTr="00CF6A99">
        <w:trPr>
          <w:trHeight w:val="264"/>
        </w:trPr>
        <w:tc>
          <w:tcPr>
            <w:tcW w:w="6660" w:type="dxa"/>
            <w:tcBorders>
              <w:top w:val="single" w:sz="8" w:space="0" w:color="CCCCCC"/>
              <w:left w:val="single" w:sz="8" w:space="0" w:color="CCCCCC"/>
              <w:bottom w:val="nil"/>
              <w:right w:val="single" w:sz="8" w:space="0" w:color="CCCCCC"/>
            </w:tcBorders>
            <w:shd w:val="clear" w:color="auto" w:fill="auto"/>
            <w:noWrap/>
            <w:hideMark/>
          </w:tcPr>
          <w:p w14:paraId="4D3A7CAD"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QLIS Source</w:t>
            </w:r>
          </w:p>
        </w:tc>
      </w:tr>
      <w:tr w:rsidR="00CF6A99" w:rsidRPr="00CF6A99" w14:paraId="4D3A7CB0" w14:textId="77777777" w:rsidTr="00CF6A99">
        <w:trPr>
          <w:trHeight w:val="276"/>
        </w:trPr>
        <w:tc>
          <w:tcPr>
            <w:tcW w:w="6660" w:type="dxa"/>
            <w:tcBorders>
              <w:top w:val="nil"/>
              <w:left w:val="single" w:sz="8" w:space="0" w:color="CCCCCC"/>
              <w:bottom w:val="single" w:sz="8" w:space="0" w:color="CCCCCC"/>
              <w:right w:val="single" w:sz="8" w:space="0" w:color="CCCCCC"/>
            </w:tcBorders>
            <w:shd w:val="clear" w:color="auto" w:fill="auto"/>
            <w:noWrap/>
            <w:hideMark/>
          </w:tcPr>
          <w:p w14:paraId="4D3A7CAF"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Cross Reference - Contract, Job, Office, Contractor, Route</w:t>
            </w:r>
          </w:p>
        </w:tc>
      </w:tr>
      <w:tr w:rsidR="00CF6A99" w:rsidRPr="00CF6A99" w14:paraId="4D3A7CB2" w14:textId="77777777" w:rsidTr="00CF6A99">
        <w:trPr>
          <w:trHeight w:val="264"/>
        </w:trPr>
        <w:tc>
          <w:tcPr>
            <w:tcW w:w="6660" w:type="dxa"/>
            <w:tcBorders>
              <w:top w:val="nil"/>
              <w:left w:val="single" w:sz="8" w:space="0" w:color="CCCCCC"/>
              <w:bottom w:val="nil"/>
              <w:right w:val="single" w:sz="8" w:space="0" w:color="CCCCCC"/>
            </w:tcBorders>
            <w:shd w:val="clear" w:color="auto" w:fill="auto"/>
            <w:noWrap/>
            <w:hideMark/>
          </w:tcPr>
          <w:p w14:paraId="4D3A7CB1"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 xml:space="preserve">Estimate Summary for Contract, by </w:t>
            </w:r>
            <w:proofErr w:type="spellStart"/>
            <w:r w:rsidRPr="00CF6A99">
              <w:rPr>
                <w:rFonts w:ascii="Tahoma" w:eastAsia="Times New Roman" w:hAnsi="Tahoma" w:cs="Tahoma"/>
                <w:color w:val="000000"/>
                <w:sz w:val="16"/>
                <w:szCs w:val="16"/>
              </w:rPr>
              <w:t>Est</w:t>
            </w:r>
            <w:proofErr w:type="spellEnd"/>
            <w:r w:rsidRPr="00CF6A99">
              <w:rPr>
                <w:rFonts w:ascii="Tahoma" w:eastAsia="Times New Roman" w:hAnsi="Tahoma" w:cs="Tahoma"/>
                <w:color w:val="000000"/>
                <w:sz w:val="16"/>
                <w:szCs w:val="16"/>
              </w:rPr>
              <w:t xml:space="preserve"> </w:t>
            </w:r>
            <w:proofErr w:type="spellStart"/>
            <w:r w:rsidRPr="00CF6A99">
              <w:rPr>
                <w:rFonts w:ascii="Tahoma" w:eastAsia="Times New Roman" w:hAnsi="Tahoma" w:cs="Tahoma"/>
                <w:color w:val="000000"/>
                <w:sz w:val="16"/>
                <w:szCs w:val="16"/>
              </w:rPr>
              <w:t>Nbr</w:t>
            </w:r>
            <w:proofErr w:type="spellEnd"/>
            <w:r w:rsidRPr="00CF6A99">
              <w:rPr>
                <w:rFonts w:ascii="Tahoma" w:eastAsia="Times New Roman" w:hAnsi="Tahoma" w:cs="Tahoma"/>
                <w:color w:val="000000"/>
                <w:sz w:val="16"/>
                <w:szCs w:val="16"/>
              </w:rPr>
              <w:t xml:space="preserve"> with DWR Template Details</w:t>
            </w:r>
          </w:p>
        </w:tc>
      </w:tr>
      <w:tr w:rsidR="00CF6A99" w:rsidRPr="00CF6A99" w14:paraId="4D3A7CB4" w14:textId="77777777" w:rsidTr="00CF6A99">
        <w:trPr>
          <w:trHeight w:val="276"/>
        </w:trPr>
        <w:tc>
          <w:tcPr>
            <w:tcW w:w="6660" w:type="dxa"/>
            <w:tcBorders>
              <w:top w:val="nil"/>
              <w:left w:val="single" w:sz="8" w:space="0" w:color="CCCCCC"/>
              <w:bottom w:val="nil"/>
              <w:right w:val="single" w:sz="8" w:space="0" w:color="CCCCCC"/>
            </w:tcBorders>
            <w:shd w:val="clear" w:color="auto" w:fill="auto"/>
            <w:noWrap/>
            <w:hideMark/>
          </w:tcPr>
          <w:p w14:paraId="4D3A7CB3"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Summary of Materials for Contract</w:t>
            </w:r>
          </w:p>
        </w:tc>
      </w:tr>
      <w:tr w:rsidR="00CF6A99" w:rsidRPr="00CF6A99" w14:paraId="4D3A7CB6" w14:textId="77777777" w:rsidTr="00CF6A99">
        <w:trPr>
          <w:trHeight w:val="264"/>
        </w:trPr>
        <w:tc>
          <w:tcPr>
            <w:tcW w:w="6660" w:type="dxa"/>
            <w:tcBorders>
              <w:top w:val="single" w:sz="8" w:space="0" w:color="CCCCCC"/>
              <w:left w:val="single" w:sz="8" w:space="0" w:color="CCCCCC"/>
              <w:bottom w:val="nil"/>
              <w:right w:val="single" w:sz="8" w:space="0" w:color="CCCCCC"/>
            </w:tcBorders>
            <w:shd w:val="clear" w:color="auto" w:fill="auto"/>
            <w:noWrap/>
            <w:hideMark/>
          </w:tcPr>
          <w:p w14:paraId="4D3A7CB5"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Official MoDOT Change Order Report</w:t>
            </w:r>
          </w:p>
        </w:tc>
      </w:tr>
      <w:tr w:rsidR="00CF6A99" w:rsidRPr="00CF6A99" w14:paraId="4D3A7CB8" w14:textId="77777777" w:rsidTr="00CF6A99">
        <w:trPr>
          <w:trHeight w:val="276"/>
        </w:trPr>
        <w:tc>
          <w:tcPr>
            <w:tcW w:w="6660" w:type="dxa"/>
            <w:tcBorders>
              <w:top w:val="nil"/>
              <w:left w:val="single" w:sz="8" w:space="0" w:color="CCCCCC"/>
              <w:bottom w:val="single" w:sz="8" w:space="0" w:color="CCCCCC"/>
              <w:right w:val="single" w:sz="8" w:space="0" w:color="CCCCCC"/>
            </w:tcBorders>
            <w:shd w:val="clear" w:color="auto" w:fill="auto"/>
            <w:noWrap/>
            <w:hideMark/>
          </w:tcPr>
          <w:p w14:paraId="4D3A7CB7"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PAL Shipments Within Date Range</w:t>
            </w:r>
          </w:p>
        </w:tc>
      </w:tr>
      <w:tr w:rsidR="00CF6A99" w:rsidRPr="00CF6A99" w14:paraId="4D3A7CBA" w14:textId="77777777" w:rsidTr="00CF6A99">
        <w:trPr>
          <w:trHeight w:val="276"/>
        </w:trPr>
        <w:tc>
          <w:tcPr>
            <w:tcW w:w="6660" w:type="dxa"/>
            <w:tcBorders>
              <w:top w:val="nil"/>
              <w:left w:val="single" w:sz="8" w:space="0" w:color="CCCCCC"/>
              <w:bottom w:val="nil"/>
              <w:right w:val="single" w:sz="8" w:space="0" w:color="CCCCCC"/>
            </w:tcBorders>
            <w:shd w:val="clear" w:color="auto" w:fill="auto"/>
            <w:noWrap/>
            <w:hideMark/>
          </w:tcPr>
          <w:p w14:paraId="4D3A7CB9"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List of Reported Quantities</w:t>
            </w:r>
          </w:p>
        </w:tc>
      </w:tr>
      <w:tr w:rsidR="00CF6A99" w:rsidRPr="00CF6A99" w14:paraId="4D3A7CBC" w14:textId="77777777" w:rsidTr="00CF6A99">
        <w:trPr>
          <w:trHeight w:val="264"/>
        </w:trPr>
        <w:tc>
          <w:tcPr>
            <w:tcW w:w="6660" w:type="dxa"/>
            <w:tcBorders>
              <w:top w:val="single" w:sz="8" w:space="0" w:color="CCCCCC"/>
              <w:left w:val="single" w:sz="8" w:space="0" w:color="CCCCCC"/>
              <w:bottom w:val="nil"/>
              <w:right w:val="single" w:sz="8" w:space="0" w:color="CCCCCC"/>
            </w:tcBorders>
            <w:shd w:val="clear" w:color="auto" w:fill="auto"/>
            <w:noWrap/>
            <w:hideMark/>
          </w:tcPr>
          <w:p w14:paraId="4D3A7CBB"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Source Approval Form for Aggregate</w:t>
            </w:r>
          </w:p>
        </w:tc>
      </w:tr>
      <w:tr w:rsidR="00CF6A99" w:rsidRPr="00CF6A99" w14:paraId="4D3A7CBE" w14:textId="77777777" w:rsidTr="00CF6A99">
        <w:trPr>
          <w:trHeight w:val="276"/>
        </w:trPr>
        <w:tc>
          <w:tcPr>
            <w:tcW w:w="6660" w:type="dxa"/>
            <w:tcBorders>
              <w:top w:val="nil"/>
              <w:left w:val="single" w:sz="8" w:space="0" w:color="CCCCCC"/>
              <w:bottom w:val="single" w:sz="8" w:space="0" w:color="CCCCCC"/>
              <w:right w:val="single" w:sz="8" w:space="0" w:color="CCCCCC"/>
            </w:tcBorders>
            <w:shd w:val="clear" w:color="auto" w:fill="auto"/>
            <w:noWrap/>
            <w:hideMark/>
          </w:tcPr>
          <w:p w14:paraId="4D3A7CBD"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DWR Remarks for Contract ID</w:t>
            </w:r>
          </w:p>
        </w:tc>
      </w:tr>
      <w:tr w:rsidR="00CF6A99" w:rsidRPr="00CF6A99" w14:paraId="4D3A7CC0" w14:textId="77777777" w:rsidTr="00CF6A99">
        <w:trPr>
          <w:trHeight w:val="276"/>
        </w:trPr>
        <w:tc>
          <w:tcPr>
            <w:tcW w:w="6660" w:type="dxa"/>
            <w:tcBorders>
              <w:top w:val="nil"/>
              <w:left w:val="single" w:sz="8" w:space="0" w:color="CCCCCC"/>
              <w:bottom w:val="single" w:sz="8" w:space="0" w:color="CCCCCC"/>
              <w:right w:val="single" w:sz="8" w:space="0" w:color="CCCCCC"/>
            </w:tcBorders>
            <w:shd w:val="clear" w:color="auto" w:fill="auto"/>
            <w:noWrap/>
            <w:hideMark/>
          </w:tcPr>
          <w:p w14:paraId="4D3A7CBF"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QLIS Initial</w:t>
            </w:r>
          </w:p>
        </w:tc>
      </w:tr>
      <w:tr w:rsidR="00CF6A99" w:rsidRPr="00CF6A99" w14:paraId="4D3A7CC2" w14:textId="77777777" w:rsidTr="00CF6A99">
        <w:trPr>
          <w:trHeight w:val="276"/>
        </w:trPr>
        <w:tc>
          <w:tcPr>
            <w:tcW w:w="6660" w:type="dxa"/>
            <w:tcBorders>
              <w:top w:val="nil"/>
              <w:left w:val="single" w:sz="8" w:space="0" w:color="CCCCCC"/>
              <w:bottom w:val="single" w:sz="8" w:space="0" w:color="CCCCCC"/>
              <w:right w:val="single" w:sz="8" w:space="0" w:color="CCCCCC"/>
            </w:tcBorders>
            <w:shd w:val="clear" w:color="auto" w:fill="auto"/>
            <w:noWrap/>
            <w:hideMark/>
          </w:tcPr>
          <w:p w14:paraId="4D3A7CC1"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MODOT Contractors - Detail</w:t>
            </w:r>
          </w:p>
        </w:tc>
      </w:tr>
      <w:tr w:rsidR="00CF6A99" w:rsidRPr="00CF6A99" w14:paraId="4D3A7CC4" w14:textId="77777777" w:rsidTr="00CF6A99">
        <w:trPr>
          <w:trHeight w:val="264"/>
        </w:trPr>
        <w:tc>
          <w:tcPr>
            <w:tcW w:w="6660" w:type="dxa"/>
            <w:tcBorders>
              <w:top w:val="nil"/>
              <w:left w:val="single" w:sz="8" w:space="0" w:color="CCCCCC"/>
              <w:bottom w:val="nil"/>
              <w:right w:val="single" w:sz="8" w:space="0" w:color="CCCCCC"/>
            </w:tcBorders>
            <w:shd w:val="clear" w:color="auto" w:fill="auto"/>
            <w:noWrap/>
            <w:hideMark/>
          </w:tcPr>
          <w:p w14:paraId="4D3A7CC3"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 xml:space="preserve">Estimate Summary for Contract, by </w:t>
            </w:r>
            <w:proofErr w:type="spellStart"/>
            <w:r w:rsidRPr="00CF6A99">
              <w:rPr>
                <w:rFonts w:ascii="Tahoma" w:eastAsia="Times New Roman" w:hAnsi="Tahoma" w:cs="Tahoma"/>
                <w:color w:val="000000"/>
                <w:sz w:val="16"/>
                <w:szCs w:val="16"/>
              </w:rPr>
              <w:t>Est</w:t>
            </w:r>
            <w:proofErr w:type="spellEnd"/>
            <w:r w:rsidRPr="00CF6A99">
              <w:rPr>
                <w:rFonts w:ascii="Tahoma" w:eastAsia="Times New Roman" w:hAnsi="Tahoma" w:cs="Tahoma"/>
                <w:color w:val="000000"/>
                <w:sz w:val="16"/>
                <w:szCs w:val="16"/>
              </w:rPr>
              <w:t xml:space="preserve"> </w:t>
            </w:r>
            <w:proofErr w:type="spellStart"/>
            <w:r w:rsidRPr="00CF6A99">
              <w:rPr>
                <w:rFonts w:ascii="Tahoma" w:eastAsia="Times New Roman" w:hAnsi="Tahoma" w:cs="Tahoma"/>
                <w:color w:val="000000"/>
                <w:sz w:val="16"/>
                <w:szCs w:val="16"/>
              </w:rPr>
              <w:t>Nbr</w:t>
            </w:r>
            <w:proofErr w:type="spellEnd"/>
            <w:r w:rsidRPr="00CF6A99">
              <w:rPr>
                <w:rFonts w:ascii="Tahoma" w:eastAsia="Times New Roman" w:hAnsi="Tahoma" w:cs="Tahoma"/>
                <w:color w:val="000000"/>
                <w:sz w:val="16"/>
                <w:szCs w:val="16"/>
              </w:rPr>
              <w:t xml:space="preserve"> with DWR Template Details, no Remarks</w:t>
            </w:r>
          </w:p>
        </w:tc>
      </w:tr>
      <w:tr w:rsidR="00CF6A99" w:rsidRPr="00CF6A99" w14:paraId="4D3A7CC6" w14:textId="77777777" w:rsidTr="00CF6A99">
        <w:trPr>
          <w:trHeight w:val="276"/>
        </w:trPr>
        <w:tc>
          <w:tcPr>
            <w:tcW w:w="6660" w:type="dxa"/>
            <w:tcBorders>
              <w:top w:val="nil"/>
              <w:left w:val="single" w:sz="8" w:space="0" w:color="CCCCCC"/>
              <w:bottom w:val="single" w:sz="8" w:space="0" w:color="CCCCCC"/>
              <w:right w:val="single" w:sz="8" w:space="0" w:color="CCCCCC"/>
            </w:tcBorders>
            <w:shd w:val="clear" w:color="auto" w:fill="auto"/>
            <w:noWrap/>
            <w:hideMark/>
          </w:tcPr>
          <w:p w14:paraId="4D3A7CC5"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Line Item Adjustments for Contract With Remarks</w:t>
            </w:r>
          </w:p>
        </w:tc>
      </w:tr>
      <w:tr w:rsidR="00CF6A99" w:rsidRPr="00CF6A99" w14:paraId="4D3A7CC8" w14:textId="77777777" w:rsidTr="00CF6A99">
        <w:trPr>
          <w:trHeight w:val="264"/>
        </w:trPr>
        <w:tc>
          <w:tcPr>
            <w:tcW w:w="6660" w:type="dxa"/>
            <w:tcBorders>
              <w:top w:val="nil"/>
              <w:left w:val="single" w:sz="8" w:space="0" w:color="CCCCCC"/>
              <w:bottom w:val="nil"/>
              <w:right w:val="single" w:sz="8" w:space="0" w:color="CCCCCC"/>
            </w:tcBorders>
            <w:shd w:val="clear" w:color="auto" w:fill="auto"/>
            <w:noWrap/>
            <w:hideMark/>
          </w:tcPr>
          <w:p w14:paraId="4D3A7CC7"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List of Line Items for Contract</w:t>
            </w:r>
          </w:p>
        </w:tc>
      </w:tr>
      <w:tr w:rsidR="00CF6A99" w:rsidRPr="00CF6A99" w14:paraId="4D3A7CCA" w14:textId="77777777" w:rsidTr="00CF6A99">
        <w:trPr>
          <w:trHeight w:val="276"/>
        </w:trPr>
        <w:tc>
          <w:tcPr>
            <w:tcW w:w="6660" w:type="dxa"/>
            <w:tcBorders>
              <w:top w:val="nil"/>
              <w:left w:val="single" w:sz="8" w:space="0" w:color="CCCCCC"/>
              <w:bottom w:val="single" w:sz="8" w:space="0" w:color="CCCCCC"/>
              <w:right w:val="single" w:sz="8" w:space="0" w:color="CCCCCC"/>
            </w:tcBorders>
            <w:shd w:val="clear" w:color="auto" w:fill="auto"/>
            <w:noWrap/>
            <w:hideMark/>
          </w:tcPr>
          <w:p w14:paraId="4D3A7CC9"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Item Code Price by District</w:t>
            </w:r>
          </w:p>
        </w:tc>
      </w:tr>
      <w:tr w:rsidR="00CF6A99" w:rsidRPr="00CF6A99" w14:paraId="4D3A7CCC" w14:textId="77777777" w:rsidTr="00CF6A99">
        <w:trPr>
          <w:trHeight w:val="276"/>
        </w:trPr>
        <w:tc>
          <w:tcPr>
            <w:tcW w:w="6660" w:type="dxa"/>
            <w:tcBorders>
              <w:top w:val="nil"/>
              <w:left w:val="single" w:sz="8" w:space="0" w:color="CCCCCC"/>
              <w:bottom w:val="nil"/>
              <w:right w:val="single" w:sz="8" w:space="0" w:color="CCCCCC"/>
            </w:tcBorders>
            <w:shd w:val="clear" w:color="auto" w:fill="auto"/>
            <w:noWrap/>
            <w:hideMark/>
          </w:tcPr>
          <w:p w14:paraId="4D3A7CCB"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Line Item Adjustments for Contract</w:t>
            </w:r>
          </w:p>
        </w:tc>
      </w:tr>
      <w:tr w:rsidR="00CF6A99" w:rsidRPr="00CF6A99" w14:paraId="4D3A7CCE" w14:textId="77777777" w:rsidTr="00CF6A99">
        <w:trPr>
          <w:trHeight w:val="276"/>
        </w:trPr>
        <w:tc>
          <w:tcPr>
            <w:tcW w:w="6660" w:type="dxa"/>
            <w:tcBorders>
              <w:top w:val="single" w:sz="8" w:space="0" w:color="CCCCCC"/>
              <w:left w:val="single" w:sz="8" w:space="0" w:color="CCCCCC"/>
              <w:bottom w:val="single" w:sz="8" w:space="0" w:color="CCCCCC"/>
              <w:right w:val="single" w:sz="8" w:space="0" w:color="CCCCCC"/>
            </w:tcBorders>
            <w:shd w:val="clear" w:color="auto" w:fill="auto"/>
            <w:noWrap/>
            <w:hideMark/>
          </w:tcPr>
          <w:p w14:paraId="4D3A7CCD"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Summary of Contract Concrete Mix Designs</w:t>
            </w:r>
          </w:p>
        </w:tc>
      </w:tr>
      <w:tr w:rsidR="00CF6A99" w:rsidRPr="00CF6A99" w14:paraId="4D3A7CD0" w14:textId="77777777" w:rsidTr="00CF6A99">
        <w:trPr>
          <w:trHeight w:val="264"/>
        </w:trPr>
        <w:tc>
          <w:tcPr>
            <w:tcW w:w="6660" w:type="dxa"/>
            <w:tcBorders>
              <w:top w:val="nil"/>
              <w:left w:val="single" w:sz="8" w:space="0" w:color="CCCCCC"/>
              <w:bottom w:val="nil"/>
              <w:right w:val="single" w:sz="8" w:space="0" w:color="CCCCCC"/>
            </w:tcBorders>
            <w:shd w:val="clear" w:color="auto" w:fill="auto"/>
            <w:noWrap/>
            <w:hideMark/>
          </w:tcPr>
          <w:p w14:paraId="4D3A7CCF"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Contractors on Site for Contract</w:t>
            </w:r>
          </w:p>
        </w:tc>
      </w:tr>
      <w:tr w:rsidR="00CF6A99" w:rsidRPr="00CF6A99" w14:paraId="4D3A7CD2" w14:textId="77777777" w:rsidTr="00CF6A99">
        <w:trPr>
          <w:trHeight w:val="276"/>
        </w:trPr>
        <w:tc>
          <w:tcPr>
            <w:tcW w:w="6660" w:type="dxa"/>
            <w:tcBorders>
              <w:top w:val="nil"/>
              <w:left w:val="single" w:sz="8" w:space="0" w:color="CCCCCC"/>
              <w:bottom w:val="single" w:sz="8" w:space="0" w:color="CCCCCC"/>
              <w:right w:val="single" w:sz="8" w:space="0" w:color="CCCCCC"/>
            </w:tcBorders>
            <w:shd w:val="clear" w:color="auto" w:fill="auto"/>
            <w:noWrap/>
            <w:hideMark/>
          </w:tcPr>
          <w:p w14:paraId="4D3A7CD1" w14:textId="77777777" w:rsidR="00CF6A99" w:rsidRPr="00CF6A99" w:rsidRDefault="00CF6A99" w:rsidP="00CF6A99">
            <w:pPr>
              <w:spacing w:after="0" w:line="240" w:lineRule="auto"/>
              <w:rPr>
                <w:rFonts w:ascii="Tahoma" w:eastAsia="Times New Roman" w:hAnsi="Tahoma" w:cs="Tahoma"/>
                <w:color w:val="000000"/>
                <w:sz w:val="16"/>
                <w:szCs w:val="16"/>
              </w:rPr>
            </w:pPr>
            <w:r w:rsidRPr="00CF6A99">
              <w:rPr>
                <w:rFonts w:ascii="Tahoma" w:eastAsia="Times New Roman" w:hAnsi="Tahoma" w:cs="Tahoma"/>
                <w:color w:val="000000"/>
                <w:sz w:val="16"/>
                <w:szCs w:val="16"/>
              </w:rPr>
              <w:t>CSTR400surf</w:t>
            </w:r>
          </w:p>
        </w:tc>
      </w:tr>
    </w:tbl>
    <w:p w14:paraId="4D3A7CD3" w14:textId="77777777" w:rsidR="00CF6A99" w:rsidRDefault="00CF6A99" w:rsidP="00E57EC6"/>
    <w:sectPr w:rsidR="00CF6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231"/>
    <w:multiLevelType w:val="hybridMultilevel"/>
    <w:tmpl w:val="9404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35FF1"/>
    <w:multiLevelType w:val="hybridMultilevel"/>
    <w:tmpl w:val="C9E8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C6"/>
    <w:rsid w:val="00255EE7"/>
    <w:rsid w:val="00402784"/>
    <w:rsid w:val="005114A0"/>
    <w:rsid w:val="00575AF3"/>
    <w:rsid w:val="005A7054"/>
    <w:rsid w:val="00667623"/>
    <w:rsid w:val="00882BE1"/>
    <w:rsid w:val="008E2304"/>
    <w:rsid w:val="0098003B"/>
    <w:rsid w:val="00C12E7D"/>
    <w:rsid w:val="00CF6A99"/>
    <w:rsid w:val="00D105BB"/>
    <w:rsid w:val="00DA7D2D"/>
    <w:rsid w:val="00E57EC6"/>
    <w:rsid w:val="00EF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EC6"/>
    <w:rPr>
      <w:color w:val="0000FF" w:themeColor="hyperlink"/>
      <w:u w:val="single"/>
    </w:rPr>
  </w:style>
  <w:style w:type="table" w:styleId="TableGrid">
    <w:name w:val="Table Grid"/>
    <w:basedOn w:val="TableNormal"/>
    <w:uiPriority w:val="59"/>
    <w:rsid w:val="00E57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7EC6"/>
    <w:pPr>
      <w:ind w:left="720"/>
      <w:contextualSpacing/>
    </w:pPr>
  </w:style>
  <w:style w:type="paragraph" w:styleId="Title">
    <w:name w:val="Title"/>
    <w:basedOn w:val="Normal"/>
    <w:next w:val="Normal"/>
    <w:link w:val="TitleChar"/>
    <w:uiPriority w:val="10"/>
    <w:qFormat/>
    <w:rsid w:val="00E57E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7EC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7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EC6"/>
    <w:rPr>
      <w:color w:val="0000FF" w:themeColor="hyperlink"/>
      <w:u w:val="single"/>
    </w:rPr>
  </w:style>
  <w:style w:type="table" w:styleId="TableGrid">
    <w:name w:val="Table Grid"/>
    <w:basedOn w:val="TableNormal"/>
    <w:uiPriority w:val="59"/>
    <w:rsid w:val="00E57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7EC6"/>
    <w:pPr>
      <w:ind w:left="720"/>
      <w:contextualSpacing/>
    </w:pPr>
  </w:style>
  <w:style w:type="paragraph" w:styleId="Title">
    <w:name w:val="Title"/>
    <w:basedOn w:val="Normal"/>
    <w:next w:val="Normal"/>
    <w:link w:val="TitleChar"/>
    <w:uiPriority w:val="10"/>
    <w:qFormat/>
    <w:rsid w:val="00E57E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7EC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7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90886">
      <w:bodyDiv w:val="1"/>
      <w:marLeft w:val="0"/>
      <w:marRight w:val="0"/>
      <w:marTop w:val="0"/>
      <w:marBottom w:val="0"/>
      <w:divBdr>
        <w:top w:val="none" w:sz="0" w:space="0" w:color="auto"/>
        <w:left w:val="none" w:sz="0" w:space="0" w:color="auto"/>
        <w:bottom w:val="none" w:sz="0" w:space="0" w:color="auto"/>
        <w:right w:val="none" w:sz="0" w:space="0" w:color="auto"/>
      </w:divBdr>
    </w:div>
    <w:div w:id="9253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arepoint/Pages/Default.aspx"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2BF49ECF1B6439F4E5CA8DA12E413" ma:contentTypeVersion="1" ma:contentTypeDescription="Create a new document." ma:contentTypeScope="" ma:versionID="224d771c68cf0a90baa12d48f947f6a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90166-4E29-49D1-8BDF-9F86FC95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FF7F7B-1B7E-4F1D-908B-9285186CA28A}">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442CA20-9653-492A-90EF-0639A1B1E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4357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How to Use Cognos Reports - SLCM</vt:lpstr>
    </vt:vector>
  </TitlesOfParts>
  <Company>MoDOT</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Cognos Reports - SLCM</dc:title>
  <dc:creator>WENDY L BROOKS</dc:creator>
  <cp:lastModifiedBy>Keith Smith</cp:lastModifiedBy>
  <cp:revision>2</cp:revision>
  <dcterms:created xsi:type="dcterms:W3CDTF">2015-05-14T20:07:00Z</dcterms:created>
  <dcterms:modified xsi:type="dcterms:W3CDTF">2015-05-14T20:07:00Z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0x0101004462BF49ECF1B6439F4E5CA8DA12E413</vt:lpwstr>
  </property>
  <property fmtid="{D5CDD505-2E9C-101B-9397-08002B2CF9AE}" pid="3" name="Order">
    <vt:r8>6300</vt:r8>
  </property>
</Properties>
</file>