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DBE Participation Obtained by Consultant:  The Consultant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services to be performed under this Agreement, by dollar value.  The DBE firms which the Consultant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Pr="00D82697"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E3086B" w:rsidRDefault="00E308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Consultant.  Requests for extensions of time shall be made in writing by the Consultant,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lastRenderedPageBreak/>
        <w:tab/>
        <w:t>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3E3F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 xml:space="preserve">once every two weeks and must be submitted monthly for invoices </w:t>
      </w:r>
      <w:r w:rsidR="00934413">
        <w:lastRenderedPageBreak/>
        <w:t>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Consultant for the services rendered, including the proportion of the fixed fee earned as reflected by the estimate of the portion of the services completed as shown by the progress report, less partial payments previously made. A late payment charge of one and one half percent (1.5%) per month shall be assessed for those invoiced amount not paid, through no fault of the </w:t>
      </w:r>
      <w:r w:rsidR="00F76FCC" w:rsidRPr="00A66E91">
        <w:rPr>
          <w:color w:val="000000"/>
        </w:rPr>
        <w:t>Consultant</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Consultant's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w:t>
      </w:r>
      <w:r w:rsidR="000B111B" w:rsidRPr="006312E7">
        <w:rPr>
          <w:color w:val="FF0000"/>
        </w:rPr>
        <w:lastRenderedPageBreak/>
        <w:t xml:space="preserve">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Consultant's services under this Agreement, or any part of them, for cause or for the convenience of the </w:t>
      </w:r>
      <w:r w:rsidR="00C52D50" w:rsidRPr="00F76FCC">
        <w:rPr>
          <w:color w:val="000000"/>
        </w:rPr>
        <w:t>Local Agency</w:t>
      </w:r>
      <w:r w:rsidRPr="00F76FCC">
        <w:rPr>
          <w:color w:val="000000"/>
        </w:rPr>
        <w:t xml:space="preserve">, upon giving to the Consultant at least fifteen (15) days' prior written notice of the effective date thereof.  The Consultant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Consultant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Consultant, a proportional amount of the fixed fee based upon an estimated percentage of Agreement completion, plus reasonable costs incurred by the Consultant in suspending or terminating the services.  The payment will make no other allowances for damages or anticipated fees or profits.  In the event of a suspension of the services, the Consultant's compensation and schedule for performance of services hereunder shall be equitably </w:t>
      </w:r>
      <w:r w:rsidRPr="00F76FCC">
        <w:rPr>
          <w:color w:val="000000"/>
        </w:rPr>
        <w:lastRenderedPageBreak/>
        <w:t>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 xml:space="preserve">The Consultant shall remain liable to the </w:t>
      </w:r>
      <w:r w:rsidR="00C52D50" w:rsidRPr="00F76FCC">
        <w:rPr>
          <w:color w:val="000000"/>
        </w:rPr>
        <w:t>Local Agency</w:t>
      </w:r>
      <w:r w:rsidRPr="00F76FCC">
        <w:rPr>
          <w:color w:val="000000"/>
        </w:rPr>
        <w:t xml:space="preserve"> for any claims or damages occasioned by any failure, default, or negligent errors and/or omission in carrying out the provisions of this Agreement during its life, including those giving rise to a termination for non-performance or breach by Consultant.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t>The Consultant shall not be liable for any errors or omissions contained in deliverables which are incomplete as a result of a suspension or termination where the Consultant is deprived of the opportunity to complete the Consultant's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(E)</w:t>
      </w:r>
      <w:r w:rsidRPr="00F76FCC">
        <w:rPr>
          <w:color w:val="000000"/>
        </w:rPr>
        <w:tab/>
        <w:t xml:space="preserve">Upon the occurrence of any of the following events, the Consultant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Consultant's original notice, the Consultant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Consultant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Since federal funds are being used for this agreement, the consultant's signature on this agreement constitutes the execution of all certifications on lobbying which are required by 49 C.F.R. Part 20 including Appendix A and B to Part 20.  Consultant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The Consultant shall maintain commercial general liability, automobile liability, and worker’s compensation and employer’s liability insurance in full force and effect to protect the Consultant from claims under Worker’s Compensation Acts, claims for damages for personal injury or death, and for damages to property arising from the negligent acts, errors, or omissions of the Consultant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The Consultant shall also maintain professional liability insurance to protect the Consultant against the negligent acts, errors, or omissions of the Consultant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The Consultant's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Commercial General Liability:  $500,000 per person up to $3,000,000 </w:t>
      </w:r>
      <w:r w:rsidRPr="00F76FCC">
        <w:rPr>
          <w:color w:val="000000"/>
        </w:rPr>
        <w:lastRenderedPageBreak/>
        <w:t>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r>
      <w:r w:rsidR="008A66AE" w:rsidRPr="00F76FCC">
        <w:rPr>
          <w:color w:val="000000"/>
        </w:rPr>
        <w:t>T</w:t>
      </w:r>
      <w:r w:rsidRPr="00F76FCC">
        <w:rPr>
          <w:color w:val="000000"/>
        </w:rPr>
        <w:t xml:space="preserve">he Consultant shall, upon request at any time, provide the </w:t>
      </w:r>
      <w:r w:rsidR="00C52D50" w:rsidRPr="00F76FCC">
        <w:rPr>
          <w:color w:val="000000"/>
        </w:rPr>
        <w:t>Local Agency</w:t>
      </w:r>
      <w:r w:rsidRPr="00F76FCC">
        <w:rPr>
          <w:color w:val="000000"/>
        </w:rPr>
        <w:t xml:space="preserve"> with certificates of insurance evidencing the Consultant’s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(E</w:t>
      </w:r>
      <w:r w:rsidR="002F0C63" w:rsidRPr="00F76FCC">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C</w:t>
      </w:r>
      <w:r>
        <w:rPr>
          <w:sz w:val="24"/>
        </w:rPr>
        <w:t xml:space="preserve"> - Breakdown of Overhead Rates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D</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E</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F</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Attachment G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Engineer this _____ day of _______________, 19__.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Executed by the County/City  this __ day of ______________, 19__.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9"/>
          <w:footerReference w:type="default" r:id="rId10"/>
          <w:type w:val="continuous"/>
          <w:pgSz w:w="12240" w:h="15840"/>
          <w:pgMar w:top="1440" w:right="1008" w:bottom="1440" w:left="1440" w:header="0" w:footer="0" w:gutter="0"/>
          <w:cols w:space="720"/>
          <w:noEndnote/>
          <w:docGrid w:linePitch="326"/>
        </w:sect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1F5B31" w:rsidRDefault="001F5B31">
      <w:pPr>
        <w:pStyle w:val="Heading2"/>
      </w:pPr>
      <w:r>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lastRenderedPageBreak/>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b/>
          <w:bCs/>
          <w:color w:val="000000"/>
          <w:kern w:val="28"/>
          <w:sz w:val="20"/>
          <w:szCs w:val="20"/>
        </w:rPr>
      </w:pPr>
    </w:p>
    <w:p w:rsidR="001F5B31" w:rsidRDefault="001F5B31">
      <w:pPr>
        <w:pStyle w:val="Heading2"/>
      </w:pPr>
      <w:r>
        <w:t xml:space="preserve">ATTACHMENT </w:t>
      </w:r>
      <w:r w:rsidR="009C74F5">
        <w:t>C</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OVERHEAD RATE BREAKDOWN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FOR YEAR 20____</w:t>
      </w:r>
    </w:p>
    <w:p w:rsidR="001F5B31" w:rsidRDefault="001F5B31">
      <w:pPr>
        <w:pStyle w:val="Heading1"/>
        <w:rPr>
          <w:color w:val="auto"/>
        </w:rPr>
      </w:pPr>
    </w:p>
    <w:p w:rsidR="001F5B31" w:rsidRDefault="001F5B31">
      <w:pPr>
        <w:pStyle w:val="Heading1"/>
        <w:rPr>
          <w:color w:val="auto"/>
        </w:rPr>
      </w:pPr>
      <w:r>
        <w:rPr>
          <w:color w:val="auto"/>
        </w:rPr>
        <w:t>DIRECT LABOR BASE</w:t>
      </w:r>
      <w:r>
        <w:rPr>
          <w:color w:val="auto"/>
        </w:rPr>
        <w:tab/>
      </w:r>
      <w:r>
        <w:rPr>
          <w:color w:val="auto"/>
        </w:rPr>
        <w:tab/>
      </w:r>
      <w:r>
        <w:rPr>
          <w:color w:val="auto"/>
        </w:rPr>
        <w:tab/>
      </w:r>
      <w:r>
        <w:rPr>
          <w:color w:val="auto"/>
        </w:rPr>
        <w:tab/>
      </w:r>
      <w:r>
        <w:rPr>
          <w:color w:val="auto"/>
        </w:rPr>
        <w:tab/>
      </w:r>
      <w:r>
        <w:rPr>
          <w:color w:val="auto"/>
        </w:rPr>
        <w:tab/>
      </w:r>
      <w:r>
        <w:rPr>
          <w:color w:val="auto"/>
        </w:rPr>
        <w:tab/>
        <w:t>$_______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p>
    <w:p w:rsidR="000A58EB" w:rsidRDefault="000A5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PAYROLL ADDITIVES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(list individual components)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kern w:val="28"/>
          <w:sz w:val="20"/>
          <w:szCs w:val="20"/>
        </w:rPr>
        <w:t xml:space="preserve">% DIRECT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u w:val="single"/>
        </w:rPr>
        <w:t>LABOR</w:t>
      </w:r>
      <w:r>
        <w:rPr>
          <w:color w:val="000000"/>
          <w:kern w:val="28"/>
          <w:sz w:val="20"/>
          <w:szCs w:val="20"/>
          <w:u w:val="single"/>
        </w:rPr>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Payroll Additives</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GENERAL AND ADMINISTRATIVE OVERHEAD</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(list individual components)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General and Administrative Overhead</w:t>
      </w:r>
      <w:r>
        <w:rPr>
          <w:i/>
          <w:iCs/>
          <w:color w:val="000000"/>
          <w:kern w:val="28"/>
          <w:sz w:val="20"/>
          <w:szCs w:val="20"/>
        </w:rPr>
        <w:tab/>
      </w:r>
      <w:r>
        <w:rPr>
          <w:i/>
          <w:iCs/>
          <w:color w:val="000000"/>
          <w:kern w:val="28"/>
          <w:sz w:val="20"/>
          <w:szCs w:val="20"/>
        </w:rPr>
        <w:tab/>
      </w:r>
      <w:r>
        <w:rPr>
          <w:i/>
          <w:iCs/>
          <w:color w:val="000000"/>
          <w:kern w:val="28"/>
          <w:sz w:val="20"/>
          <w:szCs w:val="20"/>
        </w:rPr>
        <w:tab/>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TOTAL OVERHEAD</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Less Unallowable Items</w:t>
      </w:r>
      <w:r w:rsidR="000A58EB">
        <w:rPr>
          <w:color w:val="000000"/>
          <w:kern w:val="28"/>
          <w:sz w:val="20"/>
          <w:szCs w:val="20"/>
        </w:rPr>
        <w:t xml:space="preserve"> (itemize)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r>
        <w:rPr>
          <w:i/>
          <w:iCs/>
          <w:color w:val="000000"/>
          <w:kern w:val="28"/>
          <w:sz w:val="20"/>
          <w:szCs w:val="20"/>
        </w:rPr>
        <w:tab/>
        <w:t>TOTAL ALLOWABLE OVERHEAD</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r>
        <w:rPr>
          <w:i/>
          <w:iCs/>
          <w:color w:val="000000"/>
          <w:kern w:val="28"/>
          <w:sz w:val="20"/>
          <w:szCs w:val="20"/>
        </w:rPr>
        <w:tab/>
        <w:t xml:space="preserve">   </w:t>
      </w:r>
      <w:r>
        <w:rPr>
          <w:i/>
          <w:iCs/>
          <w:color w:val="000000"/>
          <w:kern w:val="28"/>
          <w:sz w:val="20"/>
          <w:szCs w:val="20"/>
        </w:rPr>
        <w:tab/>
        <w:t xml:space="preserve">   ______%</w:t>
      </w: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b/>
          <w:bCs/>
          <w:kern w:val="28"/>
          <w:sz w:val="20"/>
          <w:szCs w:val="20"/>
        </w:rPr>
      </w:pPr>
      <w:r>
        <w:rPr>
          <w:b/>
          <w:bCs/>
          <w:kern w:val="28"/>
          <w:sz w:val="20"/>
          <w:szCs w:val="20"/>
        </w:rPr>
        <w:t>* Overhead percentages should be taken out to 2 decimal places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Pr>
          <w:sz w:val="24"/>
        </w:rPr>
        <w:br w:type="page"/>
      </w:r>
      <w:r w:rsidRPr="00AC6F5B">
        <w:rPr>
          <w:b/>
          <w:bCs/>
          <w:sz w:val="22"/>
          <w:szCs w:val="22"/>
        </w:rPr>
        <w:lastRenderedPageBreak/>
        <w:t xml:space="preserve">ATTACHMENT </w:t>
      </w:r>
      <w:r w:rsidR="009C74F5" w:rsidRPr="00AC6F5B">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1"/>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9C74F5" w:rsidRPr="00AC6F5B">
        <w:rPr>
          <w:b/>
          <w:bCs/>
          <w:sz w:val="22"/>
          <w:szCs w:val="22"/>
        </w:rPr>
        <w:t>E</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Attachment F</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Obligation of the Consultant to DBE's</w:t>
      </w:r>
      <w:r w:rsidRPr="00AC6F5B">
        <w:rPr>
          <w:color w:val="000000"/>
          <w:sz w:val="22"/>
          <w:szCs w:val="22"/>
        </w:rPr>
        <w:t>:  The Consultant agrees to assure that DBEs have the maximum opportunity to participate in the performance of this Agreement and any subconsultant agreement financed in whole or in part with federal funds.  In this regard the Consultant shall take all necessary and reasonable steps to assure</w:t>
      </w:r>
      <w:r w:rsidRPr="00AC6F5B">
        <w:rPr>
          <w:i/>
          <w:iCs/>
          <w:color w:val="000000"/>
          <w:sz w:val="22"/>
          <w:szCs w:val="22"/>
        </w:rPr>
        <w:t xml:space="preserve"> </w:t>
      </w:r>
      <w:r w:rsidRPr="00AC6F5B">
        <w:rPr>
          <w:color w:val="000000"/>
          <w:sz w:val="22"/>
          <w:szCs w:val="22"/>
        </w:rPr>
        <w:t>that DBEs have the maximum opportunity to compete for and perform services.  The Consultant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s:  The Consultant shall seek DBEs in the same geographic area in which the solicitation for other subconsultants is made.  If the Consultant cannot meet the DBE</w:t>
      </w:r>
      <w:r w:rsidRPr="00AC6F5B">
        <w:rPr>
          <w:i/>
          <w:iCs/>
          <w:color w:val="000000"/>
          <w:sz w:val="22"/>
          <w:szCs w:val="22"/>
        </w:rPr>
        <w:t xml:space="preserve"> </w:t>
      </w:r>
      <w:r w:rsidRPr="00AC6F5B">
        <w:rPr>
          <w:color w:val="000000"/>
          <w:sz w:val="22"/>
          <w:szCs w:val="22"/>
        </w:rPr>
        <w:t>goal using DBEs from that geographic area, the Consultant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The Consultant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The Consultant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A Consultant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Consultant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Consultant shall make good faith efforts to replace a DBE Subconsultant, who is unable to perform satisfactorily, with another DBE </w:t>
      </w:r>
      <w:r w:rsidRPr="00AC6F5B">
        <w:rPr>
          <w:color w:val="000000"/>
          <w:sz w:val="22"/>
          <w:szCs w:val="22"/>
        </w:rPr>
        <w:lastRenderedPageBreak/>
        <w:t>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Consultant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Consultant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consultant.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and the amount actually paid to the DBEs for performing a commercially useful function will be deducted from the Consultant's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Consultant,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 to Meet the DBE Goal:  The Agreement goal established by MoDOT’s External Civil Rights Division. The Consultant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or by the Consultant.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w:t>
      </w:r>
      <w:r w:rsidRPr="00AC6F5B">
        <w:rPr>
          <w:color w:val="000000"/>
          <w:sz w:val="22"/>
          <w:szCs w:val="22"/>
        </w:rPr>
        <w:lastRenderedPageBreak/>
        <w:t>business organizations, minority contractors' groups, disadvantaged business assistance offices, and other 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If the Consultant's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Consultant certifies that the following good faith efforts were taken by Consultant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lastRenderedPageBreak/>
        <w:t>Attachment G – Fig. 136.4.15</w:t>
      </w:r>
    </w:p>
    <w:p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532BF2" w:rsidP="00532BF2">
      <w:pPr>
        <w:pStyle w:val="CM7"/>
        <w:tabs>
          <w:tab w:val="left" w:pos="720"/>
        </w:tabs>
        <w:spacing w:line="276" w:lineRule="atLeast"/>
        <w:jc w:val="center"/>
        <w:rPr>
          <w:color w:val="000000"/>
          <w:sz w:val="23"/>
          <w:szCs w:val="23"/>
        </w:rPr>
      </w:pPr>
      <w:r w:rsidRPr="00F76FCC">
        <w:rPr>
          <w:color w:val="000000"/>
          <w:sz w:val="23"/>
          <w:szCs w:val="23"/>
        </w:rPr>
        <w:t xml:space="preserve">If no conflicts have been indentified,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2"/>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CC" w:rsidRDefault="00F76FCC">
      <w:r>
        <w:separator/>
      </w:r>
    </w:p>
  </w:endnote>
  <w:endnote w:type="continuationSeparator" w:id="0">
    <w:p w:rsidR="00F76FCC" w:rsidRDefault="00F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sidR="00BC4FE6">
      <w:rPr>
        <w:rStyle w:val="PageNumber"/>
        <w:sz w:val="16"/>
      </w:rPr>
      <w:t>Revised 1/31/13</w:t>
    </w:r>
  </w:p>
  <w:p w:rsidR="00F76FCC" w:rsidRDefault="00F76FCC">
    <w:pPr>
      <w:pStyle w:val="Footer"/>
      <w:jc w:val="center"/>
    </w:pPr>
    <w:r>
      <w:fldChar w:fldCharType="begin"/>
    </w:r>
    <w:r>
      <w:instrText xml:space="preserve"> PAGE   \* MERGEFORMAT </w:instrText>
    </w:r>
    <w:r>
      <w:fldChar w:fldCharType="separate"/>
    </w:r>
    <w:r w:rsidR="00E40AD3">
      <w:rPr>
        <w:noProof/>
      </w:rPr>
      <w:t>1</w:t>
    </w:r>
    <w:r>
      <w:rPr>
        <w:noProof/>
      </w:rPr>
      <w:fldChar w:fldCharType="end"/>
    </w:r>
  </w:p>
  <w:p w:rsidR="00F76FCC" w:rsidRDefault="00F76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Pr>
        <w:rStyle w:val="PageNumber"/>
        <w:sz w:val="16"/>
      </w:rPr>
      <w:t>Revised 7/18/12</w:t>
    </w:r>
  </w:p>
  <w:p w:rsidR="00F76FCC" w:rsidRDefault="00F76FCC">
    <w:pPr>
      <w:pStyle w:val="Footer"/>
      <w:jc w:val="center"/>
    </w:pPr>
  </w:p>
  <w:p w:rsidR="00F76FCC" w:rsidRDefault="00F76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Footer"/>
      <w:rPr>
        <w:sz w:val="16"/>
      </w:rPr>
    </w:pPr>
    <w:r>
      <w:rPr>
        <w:b/>
        <w:bCs/>
      </w:rPr>
      <w:t xml:space="preserve">         Fig. 136.4.1 Contract</w:t>
    </w:r>
    <w:r>
      <w:rPr>
        <w:b/>
        <w:bCs/>
      </w:rPr>
      <w:tab/>
    </w:r>
    <w:r>
      <w:rPr>
        <w:b/>
        <w:bCs/>
      </w:rPr>
      <w:tab/>
    </w:r>
    <w:r>
      <w:rPr>
        <w:rStyle w:val="PageNumber"/>
        <w:sz w:val="16"/>
      </w:rPr>
      <w:t>Revised 7-18-12</w:t>
    </w:r>
  </w:p>
  <w:p w:rsidR="00F76FCC" w:rsidRDefault="00F7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CC" w:rsidRDefault="00F76FCC">
      <w:r>
        <w:separator/>
      </w:r>
    </w:p>
  </w:footnote>
  <w:footnote w:type="continuationSeparator" w:id="0">
    <w:p w:rsidR="00F76FCC" w:rsidRDefault="00F7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6AEB"/>
    <w:rsid w:val="00015E0C"/>
    <w:rsid w:val="0002739F"/>
    <w:rsid w:val="00055B12"/>
    <w:rsid w:val="00065AFB"/>
    <w:rsid w:val="0007382B"/>
    <w:rsid w:val="000815B9"/>
    <w:rsid w:val="000845EE"/>
    <w:rsid w:val="000A58EB"/>
    <w:rsid w:val="000B111B"/>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D1E06"/>
    <w:rsid w:val="005E31B9"/>
    <w:rsid w:val="005F6598"/>
    <w:rsid w:val="006177FC"/>
    <w:rsid w:val="006245B8"/>
    <w:rsid w:val="006312E7"/>
    <w:rsid w:val="006B1CD5"/>
    <w:rsid w:val="006C41D1"/>
    <w:rsid w:val="006E4B63"/>
    <w:rsid w:val="00796B4D"/>
    <w:rsid w:val="007A3045"/>
    <w:rsid w:val="007F649F"/>
    <w:rsid w:val="00825F44"/>
    <w:rsid w:val="00837345"/>
    <w:rsid w:val="00840702"/>
    <w:rsid w:val="008428A9"/>
    <w:rsid w:val="008520E7"/>
    <w:rsid w:val="00863796"/>
    <w:rsid w:val="00875865"/>
    <w:rsid w:val="008775E8"/>
    <w:rsid w:val="0089099D"/>
    <w:rsid w:val="008A1D72"/>
    <w:rsid w:val="008A66AE"/>
    <w:rsid w:val="00934413"/>
    <w:rsid w:val="009855B2"/>
    <w:rsid w:val="009C74F5"/>
    <w:rsid w:val="009E447B"/>
    <w:rsid w:val="009F6759"/>
    <w:rsid w:val="00A070D8"/>
    <w:rsid w:val="00A34D84"/>
    <w:rsid w:val="00A66E91"/>
    <w:rsid w:val="00AC6F5B"/>
    <w:rsid w:val="00AD0768"/>
    <w:rsid w:val="00B043F8"/>
    <w:rsid w:val="00B175F5"/>
    <w:rsid w:val="00B343B1"/>
    <w:rsid w:val="00B37FCD"/>
    <w:rsid w:val="00B553F7"/>
    <w:rsid w:val="00B60D35"/>
    <w:rsid w:val="00B658B8"/>
    <w:rsid w:val="00B82489"/>
    <w:rsid w:val="00BA4B4F"/>
    <w:rsid w:val="00BB2832"/>
    <w:rsid w:val="00BC4FE6"/>
    <w:rsid w:val="00BD74A5"/>
    <w:rsid w:val="00BF50BA"/>
    <w:rsid w:val="00C2235A"/>
    <w:rsid w:val="00C36BAA"/>
    <w:rsid w:val="00C405FE"/>
    <w:rsid w:val="00C52D50"/>
    <w:rsid w:val="00C54EEA"/>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8004D"/>
    <w:rsid w:val="00EB1E03"/>
    <w:rsid w:val="00F22002"/>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2FBF-415B-4FDA-9CB5-563D0842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7188</Words>
  <Characters>40973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2013-02-01T14:02:00Z</dcterms:created>
  <dcterms:modified xsi:type="dcterms:W3CDTF">2013-02-01T14:02:00Z</dcterms:modified>
</cp:coreProperties>
</file>