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64"/>
        <w:gridCol w:w="8400"/>
        <w:gridCol w:w="840"/>
      </w:tblGrid>
      <w:tr w:rsidR="001F0083" w:rsidRPr="00101976" w:rsidTr="00F7130D">
        <w:tc>
          <w:tcPr>
            <w:tcW w:w="11004" w:type="dxa"/>
            <w:gridSpan w:val="3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5A2106" w:rsidRPr="001B4BFF" w:rsidRDefault="00382035" w:rsidP="00382035">
            <w:pPr>
              <w:pStyle w:val="Heading1"/>
              <w:spacing w:before="120" w:after="120"/>
              <w:rPr>
                <w:b w:val="0"/>
                <w:bCs/>
                <w:caps/>
                <w:szCs w:val="24"/>
              </w:rPr>
            </w:pPr>
            <w:bookmarkStart w:id="0" w:name="_GoBack"/>
            <w:bookmarkEnd w:id="0"/>
            <w:r>
              <w:rPr>
                <w:b w:val="0"/>
                <w:bCs/>
                <w:caps/>
                <w:szCs w:val="24"/>
              </w:rPr>
              <w:t>Environmental/</w:t>
            </w:r>
            <w:r w:rsidR="00F7107B">
              <w:rPr>
                <w:b w:val="0"/>
                <w:bCs/>
                <w:caps/>
                <w:szCs w:val="24"/>
              </w:rPr>
              <w:t>Cultural Resources Compliance</w:t>
            </w:r>
            <w:r w:rsidR="00300F87">
              <w:rPr>
                <w:b w:val="0"/>
                <w:bCs/>
                <w:caps/>
                <w:szCs w:val="24"/>
              </w:rPr>
              <w:t xml:space="preserve"> checklist</w:t>
            </w:r>
          </w:p>
        </w:tc>
      </w:tr>
      <w:tr w:rsidR="008837B9" w:rsidRPr="00D556B1" w:rsidTr="00F7130D">
        <w:tc>
          <w:tcPr>
            <w:tcW w:w="11004" w:type="dxa"/>
            <w:gridSpan w:val="3"/>
            <w:shd w:val="clear" w:color="auto" w:fill="D9D9D9"/>
            <w:vAlign w:val="center"/>
          </w:tcPr>
          <w:p w:rsidR="008837B9" w:rsidRPr="00D556B1" w:rsidRDefault="008C72E6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1" w:anchor="136.6.2_National_Environmental_Policy_Act_.28NEPA.29_Classification" w:history="1">
              <w:r w:rsidR="008837B9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National Environme</w:t>
              </w:r>
              <w:r w:rsidR="008837B9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n</w:t>
              </w:r>
              <w:r w:rsidR="008837B9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tal Policy Act (NEPA)</w:t>
              </w:r>
            </w:hyperlink>
            <w:r w:rsidR="008837B9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7E60E2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7E60E2" w:rsidRPr="001B4BFF" w:rsidRDefault="007E60E2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Determine NEPA Classification</w:t>
            </w:r>
          </w:p>
          <w:p w:rsidR="007E60E2" w:rsidRPr="001B4BFF" w:rsidRDefault="007E60E2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and</w:t>
            </w:r>
            <w:r w:rsidRPr="00D556B1">
              <w:rPr>
                <w:b/>
                <w:bCs/>
                <w:color w:val="003366"/>
                <w:sz w:val="18"/>
              </w:rPr>
              <w:t xml:space="preserve"> Documentation</w:t>
            </w:r>
          </w:p>
        </w:tc>
        <w:tc>
          <w:tcPr>
            <w:tcW w:w="8400" w:type="dxa"/>
            <w:vAlign w:val="center"/>
          </w:tcPr>
          <w:p w:rsidR="007E60E2" w:rsidRPr="001B4BFF" w:rsidRDefault="007E60E2" w:rsidP="00DB7CD6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The LPA </w:t>
            </w:r>
            <w:r w:rsidR="00DB7CD6">
              <w:rPr>
                <w:sz w:val="18"/>
              </w:rPr>
              <w:t xml:space="preserve">electronically </w:t>
            </w:r>
            <w:r>
              <w:rPr>
                <w:sz w:val="18"/>
              </w:rPr>
              <w:t xml:space="preserve">submits a completed Request for Environmental Review (RER) form </w:t>
            </w:r>
            <w:r w:rsidR="00DB7CD6">
              <w:rPr>
                <w:sz w:val="18"/>
              </w:rPr>
              <w:t xml:space="preserve">and any NEPA documentation </w:t>
            </w:r>
            <w:r>
              <w:rPr>
                <w:sz w:val="18"/>
              </w:rPr>
              <w:t>to the MoDOT district contact</w:t>
            </w:r>
            <w:r w:rsidR="00DB7CD6">
              <w:rPr>
                <w:sz w:val="18"/>
              </w:rPr>
              <w:t xml:space="preserve"> and environmental contact</w:t>
            </w:r>
            <w:r>
              <w:rPr>
                <w:sz w:val="18"/>
              </w:rPr>
              <w:t>.</w:t>
            </w:r>
          </w:p>
        </w:tc>
        <w:tc>
          <w:tcPr>
            <w:tcW w:w="840" w:type="dxa"/>
            <w:vAlign w:val="center"/>
          </w:tcPr>
          <w:p w:rsidR="007E60E2" w:rsidRPr="00E55DF8" w:rsidRDefault="007E60E2" w:rsidP="008837B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E55DF8">
              <w:rPr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DF8">
              <w:rPr>
                <w:bCs/>
                <w:noProof/>
                <w:sz w:val="18"/>
                <w:szCs w:val="18"/>
              </w:rPr>
              <w:instrText xml:space="preserve"> FORMCHECKBOX </w:instrText>
            </w:r>
            <w:r w:rsidRPr="00E55DF8">
              <w:rPr>
                <w:bCs/>
                <w:noProof/>
                <w:sz w:val="18"/>
                <w:szCs w:val="18"/>
              </w:rPr>
            </w:r>
            <w:r w:rsidRPr="00E55DF8">
              <w:rPr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7E60E2" w:rsidRPr="00101976" w:rsidTr="007E60E2">
        <w:trPr>
          <w:trHeight w:val="976"/>
        </w:trPr>
        <w:tc>
          <w:tcPr>
            <w:tcW w:w="1764" w:type="dxa"/>
            <w:vMerge/>
          </w:tcPr>
          <w:p w:rsidR="007E60E2" w:rsidRPr="00E95B4E" w:rsidRDefault="007E60E2" w:rsidP="00463547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FFFFF"/>
            <w:vAlign w:val="center"/>
          </w:tcPr>
          <w:p w:rsidR="007E60E2" w:rsidRPr="007E4F76" w:rsidRDefault="007E60E2" w:rsidP="00D556B1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>MoDOT Environmental and Historic Preservation Staff coordinate with FHWA to determine whether the project meets the criteria for a Programmatic CE or requires a CE letter, CE2, EA, or EIS.</w:t>
            </w:r>
          </w:p>
        </w:tc>
      </w:tr>
      <w:tr w:rsidR="007E60E2" w:rsidRPr="00101976" w:rsidTr="00463547">
        <w:trPr>
          <w:trHeight w:val="432"/>
        </w:trPr>
        <w:tc>
          <w:tcPr>
            <w:tcW w:w="1764" w:type="dxa"/>
            <w:vMerge/>
            <w:vAlign w:val="center"/>
          </w:tcPr>
          <w:p w:rsidR="007E60E2" w:rsidRPr="00E95B4E" w:rsidRDefault="007E60E2" w:rsidP="00463547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2F2F2"/>
            <w:vAlign w:val="center"/>
          </w:tcPr>
          <w:p w:rsidR="007E60E2" w:rsidRDefault="007E60E2" w:rsidP="00DB7CD6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1A2A00">
              <w:rPr>
                <w:bCs/>
                <w:noProof/>
                <w:sz w:val="18"/>
                <w:szCs w:val="18"/>
              </w:rPr>
              <w:t>If MoDOT determine</w:t>
            </w:r>
            <w:r>
              <w:rPr>
                <w:bCs/>
                <w:noProof/>
                <w:sz w:val="18"/>
                <w:szCs w:val="18"/>
              </w:rPr>
              <w:t>s</w:t>
            </w:r>
            <w:r w:rsidRPr="001A2A00">
              <w:rPr>
                <w:bCs/>
                <w:noProof/>
                <w:sz w:val="18"/>
                <w:szCs w:val="18"/>
              </w:rPr>
              <w:t xml:space="preserve"> the project </w:t>
            </w:r>
            <w:r>
              <w:rPr>
                <w:bCs/>
                <w:noProof/>
                <w:sz w:val="18"/>
                <w:szCs w:val="18"/>
              </w:rPr>
              <w:t>is</w:t>
            </w:r>
            <w:r w:rsidRPr="001A2A00">
              <w:rPr>
                <w:bCs/>
                <w:noProof/>
                <w:sz w:val="18"/>
                <w:szCs w:val="18"/>
              </w:rPr>
              <w:t xml:space="preserve"> categorically excluded as a  Programmatic CE, </w:t>
            </w:r>
            <w:r w:rsidR="00DB7CD6">
              <w:rPr>
                <w:bCs/>
                <w:noProof/>
                <w:sz w:val="18"/>
                <w:szCs w:val="18"/>
              </w:rPr>
              <w:t>MoDOT will provide NEPA clearance after receipt of the T&amp;E concurrance, SHPO and 4(f) clearances</w:t>
            </w:r>
            <w:r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E60E2" w:rsidRDefault="007E60E2" w:rsidP="00D82C87">
            <w:pPr>
              <w:spacing w:before="60" w:after="60"/>
              <w:jc w:val="center"/>
              <w:rPr>
                <w:bCs/>
                <w:noProof/>
                <w:sz w:val="18"/>
                <w:szCs w:val="18"/>
              </w:rPr>
            </w:pPr>
            <w:r w:rsidRPr="00E55DF8">
              <w:rPr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DF8">
              <w:rPr>
                <w:bCs/>
                <w:noProof/>
                <w:sz w:val="18"/>
                <w:szCs w:val="18"/>
              </w:rPr>
              <w:instrText xml:space="preserve"> FORMCHECKBOX </w:instrText>
            </w:r>
            <w:r w:rsidRPr="00E55DF8">
              <w:rPr>
                <w:bCs/>
                <w:noProof/>
                <w:sz w:val="18"/>
                <w:szCs w:val="18"/>
              </w:rPr>
            </w:r>
            <w:r w:rsidRPr="00E55DF8">
              <w:rPr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7E60E2" w:rsidRPr="00101976" w:rsidTr="00463547">
        <w:trPr>
          <w:trHeight w:val="432"/>
        </w:trPr>
        <w:tc>
          <w:tcPr>
            <w:tcW w:w="1764" w:type="dxa"/>
            <w:vMerge/>
          </w:tcPr>
          <w:p w:rsidR="007E60E2" w:rsidRPr="00E95B4E" w:rsidRDefault="007E60E2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7E60E2" w:rsidRPr="00797B64" w:rsidRDefault="007E60E2" w:rsidP="00D556B1">
            <w:pPr>
              <w:spacing w:before="60" w:after="60"/>
              <w:rPr>
                <w:bCs/>
                <w:noProof/>
                <w:sz w:val="18"/>
                <w:szCs w:val="18"/>
                <w:u w:val="single"/>
              </w:rPr>
            </w:pPr>
            <w:r w:rsidRPr="00797B64">
              <w:rPr>
                <w:bCs/>
                <w:noProof/>
                <w:sz w:val="18"/>
                <w:szCs w:val="18"/>
                <w:u w:val="single"/>
              </w:rPr>
              <w:t>or</w:t>
            </w:r>
          </w:p>
        </w:tc>
      </w:tr>
      <w:tr w:rsidR="007E60E2" w:rsidRPr="00101976" w:rsidTr="00463547">
        <w:trPr>
          <w:trHeight w:val="432"/>
        </w:trPr>
        <w:tc>
          <w:tcPr>
            <w:tcW w:w="1764" w:type="dxa"/>
            <w:vMerge/>
          </w:tcPr>
          <w:p w:rsidR="007E60E2" w:rsidRPr="00E95B4E" w:rsidRDefault="007E60E2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2F2F2"/>
            <w:vAlign w:val="center"/>
          </w:tcPr>
          <w:p w:rsidR="007E60E2" w:rsidRDefault="007E60E2" w:rsidP="00E55DF8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E55DF8">
              <w:rPr>
                <w:bCs/>
                <w:noProof/>
                <w:sz w:val="18"/>
                <w:szCs w:val="18"/>
              </w:rPr>
              <w:t>If the NEPA classification is a CE letter, CE2, EA, or EIS</w:t>
            </w:r>
            <w:r>
              <w:rPr>
                <w:bCs/>
                <w:noProof/>
                <w:sz w:val="18"/>
                <w:szCs w:val="18"/>
              </w:rPr>
              <w:t>,</w:t>
            </w:r>
            <w:r w:rsidRPr="00E55DF8">
              <w:rPr>
                <w:bCs/>
                <w:noProof/>
                <w:sz w:val="18"/>
                <w:szCs w:val="18"/>
              </w:rPr>
              <w:t xml:space="preserve"> the LPA prepares the appropriate document in cooperation with MoDOT environmental staff and FHWA.</w:t>
            </w:r>
          </w:p>
        </w:tc>
      </w:tr>
      <w:tr w:rsidR="007E60E2" w:rsidRPr="00101976" w:rsidTr="00E55DF8">
        <w:trPr>
          <w:trHeight w:val="432"/>
        </w:trPr>
        <w:tc>
          <w:tcPr>
            <w:tcW w:w="1764" w:type="dxa"/>
            <w:vMerge/>
          </w:tcPr>
          <w:p w:rsidR="007E60E2" w:rsidRPr="00E95B4E" w:rsidRDefault="007E60E2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7E60E2" w:rsidRDefault="007E60E2" w:rsidP="00D556B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E55DF8">
              <w:rPr>
                <w:bCs/>
                <w:noProof/>
                <w:sz w:val="18"/>
                <w:szCs w:val="18"/>
              </w:rPr>
              <w:t>Follow guidelines for public and regulatory agency involvement.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E60E2" w:rsidRPr="00E55DF8" w:rsidRDefault="007E60E2" w:rsidP="00E55DF8">
            <w:pPr>
              <w:spacing w:before="60" w:after="60"/>
              <w:jc w:val="center"/>
              <w:rPr>
                <w:bCs/>
                <w:noProof/>
                <w:sz w:val="18"/>
                <w:szCs w:val="18"/>
              </w:rPr>
            </w:pPr>
            <w:r w:rsidRPr="00E55DF8">
              <w:rPr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DF8">
              <w:rPr>
                <w:bCs/>
                <w:noProof/>
                <w:sz w:val="18"/>
                <w:szCs w:val="18"/>
              </w:rPr>
              <w:instrText xml:space="preserve"> FORMCHECKBOX </w:instrText>
            </w:r>
            <w:r w:rsidRPr="00E55DF8">
              <w:rPr>
                <w:bCs/>
                <w:noProof/>
                <w:sz w:val="18"/>
                <w:szCs w:val="18"/>
              </w:rPr>
            </w:r>
            <w:r w:rsidRPr="00E55DF8">
              <w:rPr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7E60E2" w:rsidRPr="00101976" w:rsidTr="00463547">
        <w:trPr>
          <w:trHeight w:val="432"/>
        </w:trPr>
        <w:tc>
          <w:tcPr>
            <w:tcW w:w="1764" w:type="dxa"/>
            <w:vMerge/>
            <w:tcBorders>
              <w:bottom w:val="single" w:sz="4" w:space="0" w:color="808080"/>
            </w:tcBorders>
          </w:tcPr>
          <w:p w:rsidR="007E60E2" w:rsidRPr="00E95B4E" w:rsidRDefault="007E60E2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7E60E2" w:rsidRDefault="007E60E2" w:rsidP="003968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E55DF8">
              <w:rPr>
                <w:bCs/>
                <w:noProof/>
                <w:sz w:val="18"/>
                <w:szCs w:val="18"/>
              </w:rPr>
              <w:t xml:space="preserve">Get final approval of CE letter or CE2 from FHWA.  </w:t>
            </w:r>
            <w:r>
              <w:rPr>
                <w:bCs/>
                <w:noProof/>
                <w:sz w:val="18"/>
                <w:szCs w:val="18"/>
              </w:rPr>
              <w:t>For</w:t>
            </w:r>
            <w:r w:rsidRPr="00E55DF8">
              <w:rPr>
                <w:bCs/>
                <w:noProof/>
                <w:sz w:val="18"/>
                <w:szCs w:val="18"/>
              </w:rPr>
              <w:t xml:space="preserve"> an EA or EIS, get final approval of the NEPA document and the appropriate decision document </w:t>
            </w:r>
            <w:r>
              <w:rPr>
                <w:bCs/>
                <w:noProof/>
                <w:sz w:val="18"/>
                <w:szCs w:val="18"/>
              </w:rPr>
              <w:t xml:space="preserve"> (FONSI or ROD) </w:t>
            </w:r>
            <w:r w:rsidRPr="00E55DF8">
              <w:rPr>
                <w:bCs/>
                <w:noProof/>
                <w:sz w:val="18"/>
                <w:szCs w:val="18"/>
              </w:rPr>
              <w:t>from FHWA.</w:t>
            </w:r>
            <w:r>
              <w:rPr>
                <w:bCs/>
                <w:noProof/>
                <w:sz w:val="18"/>
                <w:szCs w:val="18"/>
              </w:rPr>
              <w:t xml:space="preserve"> (106, T&amp;E, and 4(f) are required for NEPA approval)</w:t>
            </w:r>
            <w:r w:rsidR="00DB7CD6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7E60E2" w:rsidRDefault="007E60E2" w:rsidP="00E55DF8">
            <w:pPr>
              <w:spacing w:before="60" w:after="60"/>
              <w:jc w:val="center"/>
              <w:rPr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D556B1" w:rsidTr="00463547">
        <w:tc>
          <w:tcPr>
            <w:tcW w:w="11004" w:type="dxa"/>
            <w:gridSpan w:val="3"/>
            <w:shd w:val="clear" w:color="auto" w:fill="D9D9D9"/>
            <w:vAlign w:val="center"/>
          </w:tcPr>
          <w:p w:rsidR="00B14CC9" w:rsidRPr="00D556B1" w:rsidRDefault="008C72E6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2" w:anchor="136.6.4.1_Section_106_.28Cultural_Resource.29_Compliance" w:history="1">
              <w:r w:rsidR="00B14CC9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Section 106 (CULTURAL RESOURCES)</w:t>
              </w:r>
            </w:hyperlink>
            <w:r w:rsidR="00B14CC9" w:rsidRPr="002B7126">
              <w:rPr>
                <w:b w:val="0"/>
                <w:bCs/>
                <w:caps/>
                <w:sz w:val="20"/>
              </w:rPr>
              <w:t xml:space="preserve"> </w:t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B14CC9" w:rsidRPr="001B4BFF" w:rsidRDefault="00B14CC9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E95B4E">
              <w:rPr>
                <w:b/>
                <w:bCs/>
                <w:color w:val="003366"/>
                <w:sz w:val="18"/>
              </w:rPr>
              <w:t>Determine Need for Cultural Resource Investigations</w:t>
            </w:r>
          </w:p>
        </w:tc>
        <w:tc>
          <w:tcPr>
            <w:tcW w:w="8400" w:type="dxa"/>
            <w:vAlign w:val="center"/>
          </w:tcPr>
          <w:p w:rsidR="00B14CC9" w:rsidRPr="001B4BFF" w:rsidRDefault="00B14CC9" w:rsidP="000A374D">
            <w:pPr>
              <w:spacing w:before="60" w:after="60"/>
              <w:rPr>
                <w:sz w:val="18"/>
              </w:rPr>
            </w:pPr>
            <w:r w:rsidRPr="00EC3F3D">
              <w:rPr>
                <w:bCs/>
                <w:sz w:val="18"/>
              </w:rPr>
              <w:t xml:space="preserve">The local public agency (LPA) must solicit </w:t>
            </w:r>
            <w:r w:rsidRPr="00EC3F3D">
              <w:rPr>
                <w:sz w:val="18"/>
              </w:rPr>
              <w:t>State Historic Preservation Office’s (</w:t>
            </w:r>
            <w:r w:rsidRPr="00EC3F3D">
              <w:rPr>
                <w:bCs/>
                <w:sz w:val="18"/>
              </w:rPr>
              <w:t>SHPO) opinion on the need for a cultural resource survey by submitting a Section 106 Project Information Form.</w:t>
            </w:r>
          </w:p>
        </w:tc>
        <w:tc>
          <w:tcPr>
            <w:tcW w:w="840" w:type="dxa"/>
            <w:vAlign w:val="center"/>
          </w:tcPr>
          <w:p w:rsidR="00B14CC9" w:rsidRPr="001B4BFF" w:rsidRDefault="00717DA2" w:rsidP="00B14CC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</w:tcPr>
          <w:p w:rsidR="00B14CC9" w:rsidRPr="00E95B4E" w:rsidRDefault="00B14CC9" w:rsidP="00B14CC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B14CC9" w:rsidRPr="007E4F76" w:rsidRDefault="00B14CC9" w:rsidP="00682810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 w:rsidRPr="009700DC">
              <w:rPr>
                <w:rFonts w:cs="Arial"/>
                <w:bCs/>
                <w:sz w:val="18"/>
                <w:szCs w:val="18"/>
              </w:rPr>
              <w:t xml:space="preserve">If the SHPO </w:t>
            </w:r>
            <w:r>
              <w:rPr>
                <w:rFonts w:cs="Arial"/>
                <w:bCs/>
                <w:sz w:val="18"/>
                <w:szCs w:val="18"/>
              </w:rPr>
              <w:t xml:space="preserve">determines that no 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Section 106 Survey </w:t>
            </w:r>
            <w:r>
              <w:rPr>
                <w:rFonts w:cs="Arial"/>
                <w:bCs/>
                <w:sz w:val="18"/>
                <w:szCs w:val="18"/>
              </w:rPr>
              <w:t>is required,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 Section 106 compliance is completed. The date of the SHPO letter </w:t>
            </w:r>
            <w:r w:rsidR="00682810">
              <w:rPr>
                <w:rFonts w:cs="Arial"/>
                <w:bCs/>
                <w:sz w:val="18"/>
                <w:szCs w:val="18"/>
              </w:rPr>
              <w:t>is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 used as the Section 106 compliance date</w:t>
            </w:r>
            <w:r>
              <w:rPr>
                <w:rFonts w:cs="Arial"/>
                <w:bCs/>
                <w:sz w:val="18"/>
                <w:szCs w:val="18"/>
              </w:rPr>
              <w:t xml:space="preserve">. 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If the </w:t>
            </w:r>
            <w:r>
              <w:rPr>
                <w:rFonts w:cs="Arial"/>
                <w:bCs/>
                <w:sz w:val="18"/>
                <w:szCs w:val="18"/>
              </w:rPr>
              <w:t>SHPO requests a Section 106 Survey,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 the LPA pr</w:t>
            </w:r>
            <w:r w:rsidR="00682810">
              <w:rPr>
                <w:rFonts w:cs="Arial"/>
                <w:bCs/>
                <w:sz w:val="18"/>
                <w:szCs w:val="18"/>
              </w:rPr>
              <w:t>o</w:t>
            </w:r>
            <w:r w:rsidRPr="009700DC">
              <w:rPr>
                <w:rFonts w:cs="Arial"/>
                <w:bCs/>
                <w:sz w:val="18"/>
                <w:szCs w:val="18"/>
              </w:rPr>
              <w:t>c</w:t>
            </w:r>
            <w:r w:rsidR="00682810">
              <w:rPr>
                <w:rFonts w:cs="Arial"/>
                <w:bCs/>
                <w:sz w:val="18"/>
                <w:szCs w:val="18"/>
              </w:rPr>
              <w:t>e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eds </w:t>
            </w:r>
            <w:r>
              <w:rPr>
                <w:rFonts w:cs="Arial"/>
                <w:bCs/>
                <w:sz w:val="18"/>
                <w:szCs w:val="18"/>
              </w:rPr>
              <w:t>to the next step.</w:t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B14CC9" w:rsidRPr="001B4BFF" w:rsidRDefault="00B14CC9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E95B4E">
              <w:rPr>
                <w:b/>
                <w:bCs/>
                <w:color w:val="003366"/>
                <w:sz w:val="18"/>
              </w:rPr>
              <w:t>Cultural Resource Investigations</w:t>
            </w:r>
          </w:p>
        </w:tc>
        <w:tc>
          <w:tcPr>
            <w:tcW w:w="9240" w:type="dxa"/>
            <w:gridSpan w:val="2"/>
            <w:shd w:val="clear" w:color="auto" w:fill="F2F2F2"/>
            <w:vAlign w:val="center"/>
          </w:tcPr>
          <w:p w:rsidR="00B14CC9" w:rsidRPr="000D6F36" w:rsidRDefault="00B14CC9" w:rsidP="00B14CC9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6F36">
              <w:rPr>
                <w:sz w:val="18"/>
                <w:szCs w:val="18"/>
              </w:rPr>
              <w:t>The Cultural Resource Survey</w:t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</w:tcPr>
          <w:p w:rsidR="00B14CC9" w:rsidRDefault="00B14CC9" w:rsidP="000A374D">
            <w:pPr>
              <w:spacing w:before="60" w:after="60"/>
              <w:rPr>
                <w:sz w:val="18"/>
              </w:rPr>
            </w:pPr>
            <w:r w:rsidRPr="000D6F36">
              <w:rPr>
                <w:bCs/>
                <w:sz w:val="18"/>
              </w:rPr>
              <w:t>If the SHPO requests a Section 106 survey the LPA will need to hire a qualified cultural resource consultant or staff member to conduct the survey and to submit a report of their findings to the SHPO.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vAlign w:val="center"/>
          </w:tcPr>
          <w:p w:rsidR="00B14CC9" w:rsidRPr="001B4BFF" w:rsidRDefault="00717DA2" w:rsidP="00B14CC9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2F2F2"/>
            <w:vAlign w:val="center"/>
          </w:tcPr>
          <w:p w:rsidR="00B14CC9" w:rsidRPr="000D6F36" w:rsidRDefault="00B14CC9" w:rsidP="00B14CC9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D6F36">
              <w:rPr>
                <w:bCs/>
                <w:sz w:val="18"/>
                <w:szCs w:val="18"/>
              </w:rPr>
              <w:t>Determination of Eligibility</w:t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vAlign w:val="center"/>
          </w:tcPr>
          <w:p w:rsidR="00B14CC9" w:rsidRDefault="00B14CC9" w:rsidP="000A374D">
            <w:pPr>
              <w:spacing w:before="60" w:after="60"/>
              <w:rPr>
                <w:sz w:val="18"/>
              </w:rPr>
            </w:pPr>
            <w:r w:rsidRPr="000D6F36">
              <w:rPr>
                <w:bCs/>
                <w:sz w:val="18"/>
              </w:rPr>
              <w:t>If cultural resources are present, the LPA, in consultation with SHPO and Federal Highway Administration (FHWA), determines whether a cultural resource meets the eligibility requirements of the National Register of Historic Properties (National Register). A cultural resource professional may need to conduct additional investigations to evaluate the eligibility of some resources.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vAlign w:val="center"/>
          </w:tcPr>
          <w:p w:rsidR="00B14CC9" w:rsidRPr="001B4BFF" w:rsidRDefault="00717DA2" w:rsidP="00B14CC9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2F2F2"/>
            <w:vAlign w:val="center"/>
          </w:tcPr>
          <w:p w:rsidR="00B14CC9" w:rsidRPr="000D6F36" w:rsidRDefault="00B14CC9" w:rsidP="00B14CC9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6F36">
              <w:rPr>
                <w:bCs/>
                <w:sz w:val="18"/>
                <w:szCs w:val="18"/>
              </w:rPr>
              <w:t>Determination of Effect</w:t>
            </w:r>
          </w:p>
        </w:tc>
      </w:tr>
      <w:tr w:rsidR="00B14CC9" w:rsidRPr="00101976" w:rsidTr="000A374D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B14CC9" w:rsidRPr="009700DC" w:rsidRDefault="00B14CC9" w:rsidP="000A374D">
            <w:pPr>
              <w:spacing w:before="60" w:after="60"/>
              <w:rPr>
                <w:sz w:val="18"/>
                <w:szCs w:val="18"/>
              </w:rPr>
            </w:pPr>
            <w:r w:rsidRPr="009700DC">
              <w:rPr>
                <w:bCs/>
                <w:sz w:val="18"/>
                <w:szCs w:val="18"/>
              </w:rPr>
              <w:t>If historically significant cultural resources are present, the LPA, FHWA, and SHPO will determine the effect of the project on each National Register eligible property.</w:t>
            </w:r>
          </w:p>
        </w:tc>
        <w:tc>
          <w:tcPr>
            <w:tcW w:w="840" w:type="dxa"/>
            <w:vAlign w:val="center"/>
          </w:tcPr>
          <w:p w:rsidR="00B14CC9" w:rsidRPr="001B4BFF" w:rsidRDefault="00717DA2" w:rsidP="000A374D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B14CC9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FFFFF"/>
            <w:vAlign w:val="center"/>
          </w:tcPr>
          <w:p w:rsidR="00B14CC9" w:rsidRPr="009700DC" w:rsidRDefault="00B14CC9" w:rsidP="0068281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700DC">
              <w:rPr>
                <w:rFonts w:cs="Arial"/>
                <w:bCs/>
                <w:sz w:val="18"/>
                <w:szCs w:val="18"/>
              </w:rPr>
              <w:t xml:space="preserve">If the SHPO concurs with the results of the Section 106 Survey submittal being “no historic properties affected” or “no adverse effect to a historic property,” Section 106 compliance is completed. The date of the SHPO letter </w:t>
            </w:r>
            <w:r w:rsidR="00682810">
              <w:rPr>
                <w:rFonts w:cs="Arial"/>
                <w:bCs/>
                <w:sz w:val="18"/>
                <w:szCs w:val="18"/>
              </w:rPr>
              <w:t>is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 used as the Section 106 compliance date. If the result of the survey is “adverse effect to a historic property</w:t>
            </w:r>
            <w:r w:rsidR="00682810">
              <w:rPr>
                <w:rFonts w:cs="Arial"/>
                <w:bCs/>
                <w:sz w:val="18"/>
                <w:szCs w:val="18"/>
              </w:rPr>
              <w:t>,</w:t>
            </w:r>
            <w:r w:rsidRPr="009700DC">
              <w:rPr>
                <w:rFonts w:cs="Arial"/>
                <w:bCs/>
                <w:sz w:val="18"/>
                <w:szCs w:val="18"/>
              </w:rPr>
              <w:t>” the LPA pr</w:t>
            </w:r>
            <w:r w:rsidR="00682810">
              <w:rPr>
                <w:rFonts w:cs="Arial"/>
                <w:bCs/>
                <w:sz w:val="18"/>
                <w:szCs w:val="18"/>
              </w:rPr>
              <w:t>o</w:t>
            </w:r>
            <w:r w:rsidRPr="009700DC">
              <w:rPr>
                <w:rFonts w:cs="Arial"/>
                <w:bCs/>
                <w:sz w:val="18"/>
                <w:szCs w:val="18"/>
              </w:rPr>
              <w:t>ce</w:t>
            </w:r>
            <w:r w:rsidR="00682810">
              <w:rPr>
                <w:rFonts w:cs="Arial"/>
                <w:bCs/>
                <w:sz w:val="18"/>
                <w:szCs w:val="18"/>
              </w:rPr>
              <w:t>e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ds with </w:t>
            </w:r>
            <w:r>
              <w:rPr>
                <w:rFonts w:cs="Arial"/>
                <w:bCs/>
                <w:sz w:val="18"/>
                <w:szCs w:val="18"/>
              </w:rPr>
              <w:t>the next two steps</w:t>
            </w:r>
            <w:r w:rsidRPr="009700DC">
              <w:rPr>
                <w:rFonts w:cs="Arial"/>
                <w:bCs/>
                <w:sz w:val="18"/>
                <w:szCs w:val="18"/>
              </w:rPr>
              <w:t>.</w:t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Align w:val="center"/>
          </w:tcPr>
          <w:p w:rsidR="00B14CC9" w:rsidRPr="001B4BFF" w:rsidRDefault="00B14CC9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E95B4E">
              <w:rPr>
                <w:b/>
                <w:bCs/>
                <w:color w:val="003366"/>
                <w:sz w:val="18"/>
              </w:rPr>
              <w:t>Preparation of the Memorandum of Agreement</w:t>
            </w:r>
          </w:p>
        </w:tc>
        <w:tc>
          <w:tcPr>
            <w:tcW w:w="8400" w:type="dxa"/>
            <w:vAlign w:val="center"/>
          </w:tcPr>
          <w:p w:rsidR="00B14CC9" w:rsidRDefault="00B14CC9" w:rsidP="00B14CC9">
            <w:pPr>
              <w:spacing w:after="60"/>
              <w:rPr>
                <w:sz w:val="18"/>
              </w:rPr>
            </w:pPr>
            <w:r w:rsidRPr="009B126C">
              <w:rPr>
                <w:bCs/>
                <w:sz w:val="18"/>
              </w:rPr>
              <w:t>If historic properties will be adversely affected by the project, the LPA will coordinate with SHPO and FHWA in preparation of a Memorandum of Agreement (MOA).</w:t>
            </w:r>
          </w:p>
        </w:tc>
        <w:tc>
          <w:tcPr>
            <w:tcW w:w="840" w:type="dxa"/>
            <w:vAlign w:val="center"/>
          </w:tcPr>
          <w:p w:rsidR="00B14CC9" w:rsidRPr="001B4BFF" w:rsidRDefault="00717DA2" w:rsidP="00B14CC9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B14CC9" w:rsidRPr="001B4BFF" w:rsidRDefault="00B14CC9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E95B4E">
              <w:rPr>
                <w:b/>
                <w:bCs/>
                <w:color w:val="003366"/>
                <w:sz w:val="18"/>
              </w:rPr>
              <w:t>Mitigation of Adverse Effect</w:t>
            </w:r>
          </w:p>
        </w:tc>
        <w:tc>
          <w:tcPr>
            <w:tcW w:w="8400" w:type="dxa"/>
          </w:tcPr>
          <w:p w:rsidR="00B14CC9" w:rsidRPr="001B4BFF" w:rsidRDefault="00B14CC9" w:rsidP="00682810">
            <w:pPr>
              <w:spacing w:before="60" w:after="60"/>
              <w:rPr>
                <w:sz w:val="18"/>
              </w:rPr>
            </w:pPr>
            <w:r w:rsidRPr="009B126C">
              <w:rPr>
                <w:bCs/>
                <w:sz w:val="18"/>
              </w:rPr>
              <w:t>The LPA implements and fulfills the stipulations of the MOA. Ultimately, the SHPO must concur that the stipulations of the MOA have been satisfied.</w:t>
            </w:r>
          </w:p>
        </w:tc>
        <w:tc>
          <w:tcPr>
            <w:tcW w:w="840" w:type="dxa"/>
            <w:vAlign w:val="center"/>
          </w:tcPr>
          <w:p w:rsidR="00B14CC9" w:rsidRPr="001B4BFF" w:rsidRDefault="00717DA2" w:rsidP="00B14CC9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  <w:tcBorders>
              <w:bottom w:val="single" w:sz="4" w:space="0" w:color="808080"/>
            </w:tcBorders>
          </w:tcPr>
          <w:p w:rsidR="00B14CC9" w:rsidRPr="001B4BFF" w:rsidRDefault="00B14CC9" w:rsidP="00B14CC9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B14CC9" w:rsidRPr="001B4BFF" w:rsidRDefault="00B14CC9" w:rsidP="00B14CC9">
            <w:pPr>
              <w:spacing w:before="60" w:after="60"/>
              <w:rPr>
                <w:sz w:val="18"/>
              </w:rPr>
            </w:pPr>
            <w:r w:rsidRPr="009B126C">
              <w:rPr>
                <w:bCs/>
                <w:sz w:val="18"/>
              </w:rPr>
              <w:t xml:space="preserve">If </w:t>
            </w:r>
            <w:r>
              <w:rPr>
                <w:bCs/>
                <w:sz w:val="18"/>
              </w:rPr>
              <w:t>these last two steps</w:t>
            </w:r>
            <w:r w:rsidRPr="009B126C">
              <w:rPr>
                <w:bCs/>
                <w:sz w:val="18"/>
              </w:rPr>
              <w:t xml:space="preserve"> are required, then the date that FHWA signed the MOA is used as the Section 106 compliance date.</w:t>
            </w:r>
          </w:p>
        </w:tc>
      </w:tr>
      <w:tr w:rsidR="00396877" w:rsidRPr="00D556B1" w:rsidTr="00463547">
        <w:tc>
          <w:tcPr>
            <w:tcW w:w="11004" w:type="dxa"/>
            <w:gridSpan w:val="3"/>
            <w:shd w:val="clear" w:color="auto" w:fill="D9D9D9"/>
            <w:vAlign w:val="center"/>
          </w:tcPr>
          <w:p w:rsidR="00396877" w:rsidRPr="00D556B1" w:rsidRDefault="008C72E6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3" w:anchor="136.6.4.2_Section_4.28f.29_of_the_U.S._Department_of_Transportation_Act_of_1966_and_Section_6.28f.29_of_the_Land_and_Water_Conservation_Fund_Act_.28LWCFA.29_Properties" w:history="1">
              <w:r w:rsidR="00396877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Sectio</w:t>
              </w:r>
              <w:r w:rsidR="00396877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n</w:t>
              </w:r>
              <w:r w:rsidR="00396877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 xml:space="preserve"> 4(</w:t>
              </w:r>
              <w:r w:rsidR="002B7126" w:rsidRPr="00AF7116">
                <w:rPr>
                  <w:rStyle w:val="Hyperlink"/>
                  <w:b w:val="0"/>
                  <w:bCs/>
                  <w:sz w:val="22"/>
                  <w:szCs w:val="22"/>
                </w:rPr>
                <w:t>f</w:t>
              </w:r>
              <w:r w:rsidR="00396877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) and 6(</w:t>
              </w:r>
              <w:r w:rsidR="002B7126" w:rsidRPr="00AF7116">
                <w:rPr>
                  <w:rStyle w:val="Hyperlink"/>
                  <w:b w:val="0"/>
                  <w:bCs/>
                  <w:sz w:val="22"/>
                  <w:szCs w:val="22"/>
                </w:rPr>
                <w:t>f</w:t>
              </w:r>
              <w:r w:rsidR="00396877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)</w:t>
              </w:r>
            </w:hyperlink>
            <w:r w:rsidR="00396877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B14CC9" w:rsidRPr="00E95B4E" w:rsidRDefault="00B14CC9" w:rsidP="00463547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Section 4(f)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B14CC9" w:rsidRPr="00E55DF8" w:rsidRDefault="00B14CC9" w:rsidP="00682810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396877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 xml:space="preserve">whether </w:t>
            </w:r>
            <w:r w:rsidRPr="00396877">
              <w:rPr>
                <w:bCs/>
                <w:noProof/>
                <w:sz w:val="18"/>
                <w:szCs w:val="18"/>
              </w:rPr>
              <w:t xml:space="preserve">the project </w:t>
            </w:r>
            <w:r w:rsidR="00682810">
              <w:rPr>
                <w:bCs/>
                <w:noProof/>
                <w:sz w:val="18"/>
                <w:szCs w:val="18"/>
              </w:rPr>
              <w:t>r</w:t>
            </w:r>
            <w:r w:rsidRPr="00396877">
              <w:rPr>
                <w:bCs/>
                <w:noProof/>
                <w:sz w:val="18"/>
                <w:szCs w:val="18"/>
              </w:rPr>
              <w:t>equire</w:t>
            </w:r>
            <w:r>
              <w:rPr>
                <w:bCs/>
                <w:noProof/>
                <w:sz w:val="18"/>
                <w:szCs w:val="18"/>
              </w:rPr>
              <w:t>s</w:t>
            </w:r>
            <w:r w:rsidRPr="00396877">
              <w:rPr>
                <w:bCs/>
                <w:noProof/>
                <w:sz w:val="18"/>
                <w:szCs w:val="18"/>
              </w:rPr>
              <w:t xml:space="preserve"> the use of or impact</w:t>
            </w:r>
            <w:r>
              <w:rPr>
                <w:bCs/>
                <w:noProof/>
                <w:sz w:val="18"/>
                <w:szCs w:val="18"/>
              </w:rPr>
              <w:t>s</w:t>
            </w:r>
            <w:r w:rsidR="00682810">
              <w:rPr>
                <w:bCs/>
                <w:noProof/>
                <w:sz w:val="18"/>
                <w:szCs w:val="18"/>
              </w:rPr>
              <w:t xml:space="preserve"> any 4(f) resources—</w:t>
            </w:r>
            <w:r w:rsidRPr="00396877">
              <w:rPr>
                <w:bCs/>
                <w:noProof/>
                <w:sz w:val="18"/>
                <w:szCs w:val="18"/>
              </w:rPr>
              <w:t>public recreation areas a</w:t>
            </w:r>
            <w:r w:rsidR="00682810">
              <w:rPr>
                <w:bCs/>
                <w:noProof/>
                <w:sz w:val="18"/>
                <w:szCs w:val="18"/>
              </w:rPr>
              <w:t>s well as</w:t>
            </w:r>
            <w:r w:rsidRPr="00396877">
              <w:rPr>
                <w:bCs/>
                <w:noProof/>
                <w:sz w:val="18"/>
                <w:szCs w:val="18"/>
              </w:rPr>
              <w:t xml:space="preserve"> historic </w:t>
            </w:r>
            <w:r w:rsidR="00682810">
              <w:rPr>
                <w:bCs/>
                <w:noProof/>
                <w:sz w:val="18"/>
                <w:szCs w:val="18"/>
              </w:rPr>
              <w:t>proper</w:t>
            </w:r>
            <w:r w:rsidRPr="00396877">
              <w:rPr>
                <w:bCs/>
                <w:noProof/>
                <w:sz w:val="18"/>
                <w:szCs w:val="18"/>
              </w:rPr>
              <w:t>t</w:t>
            </w:r>
            <w:r w:rsidR="00682810">
              <w:rPr>
                <w:bCs/>
                <w:noProof/>
                <w:sz w:val="18"/>
                <w:szCs w:val="18"/>
              </w:rPr>
              <w:t>i</w:t>
            </w:r>
            <w:r w:rsidRPr="00396877">
              <w:rPr>
                <w:bCs/>
                <w:noProof/>
                <w:sz w:val="18"/>
                <w:szCs w:val="18"/>
              </w:rPr>
              <w:t>es.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E55DF8">
        <w:trPr>
          <w:trHeight w:val="432"/>
        </w:trPr>
        <w:tc>
          <w:tcPr>
            <w:tcW w:w="1764" w:type="dxa"/>
            <w:vMerge/>
          </w:tcPr>
          <w:p w:rsidR="00B14CC9" w:rsidRPr="00E95B4E" w:rsidRDefault="00B14CC9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B14CC9" w:rsidRPr="00E55DF8" w:rsidRDefault="00B14CC9" w:rsidP="00B14CC9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B14CC9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>whether</w:t>
            </w:r>
            <w:r w:rsidRPr="00B14CC9">
              <w:rPr>
                <w:bCs/>
                <w:noProof/>
                <w:sz w:val="18"/>
                <w:szCs w:val="18"/>
              </w:rPr>
              <w:t xml:space="preserve"> the 4(f) impact is appropriate for a </w:t>
            </w:r>
            <w:r w:rsidRPr="00B14CC9">
              <w:rPr>
                <w:bCs/>
                <w:i/>
                <w:noProof/>
                <w:sz w:val="18"/>
                <w:szCs w:val="18"/>
              </w:rPr>
              <w:t>de minimus</w:t>
            </w:r>
            <w:r w:rsidRPr="00B14CC9">
              <w:rPr>
                <w:bCs/>
                <w:noProof/>
                <w:sz w:val="18"/>
                <w:szCs w:val="18"/>
              </w:rPr>
              <w:t xml:space="preserve"> determination, fits the criteria for one of the programmatic evaluations, or requires a full 4(f) evaluation.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E55DF8">
        <w:trPr>
          <w:trHeight w:val="432"/>
        </w:trPr>
        <w:tc>
          <w:tcPr>
            <w:tcW w:w="1764" w:type="dxa"/>
            <w:vMerge/>
          </w:tcPr>
          <w:p w:rsidR="00B14CC9" w:rsidRPr="00E95B4E" w:rsidRDefault="00B14CC9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B14CC9" w:rsidRPr="00E55DF8" w:rsidRDefault="00B14CC9" w:rsidP="00D556B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Complete appropriate coordination and documentation.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B14CC9" w:rsidRPr="00E95B4E" w:rsidRDefault="00B14CC9" w:rsidP="00463547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Section 6(f)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B14CC9" w:rsidRPr="00E55DF8" w:rsidRDefault="00B14CC9" w:rsidP="00B14CC9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B14CC9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>whether</w:t>
            </w:r>
            <w:r w:rsidRPr="00B14CC9">
              <w:rPr>
                <w:bCs/>
                <w:noProof/>
                <w:sz w:val="18"/>
                <w:szCs w:val="18"/>
              </w:rPr>
              <w:t xml:space="preserve"> the project impacts facilities funded through the Land and Water Conservation Fund (LWCF) Act.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  <w:tcBorders>
              <w:bottom w:val="single" w:sz="4" w:space="0" w:color="808080"/>
            </w:tcBorders>
          </w:tcPr>
          <w:p w:rsidR="00B14CC9" w:rsidRPr="00E95B4E" w:rsidRDefault="00B14CC9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B14CC9" w:rsidRPr="00E55DF8" w:rsidRDefault="00B14CC9" w:rsidP="00D556B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B14CC9">
              <w:rPr>
                <w:bCs/>
                <w:noProof/>
                <w:sz w:val="18"/>
                <w:szCs w:val="18"/>
              </w:rPr>
              <w:t>Coordinate 6(f) requirements with the appropriate federal agency(s) and MoDOT.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D556B1" w:rsidTr="00463547">
        <w:tc>
          <w:tcPr>
            <w:tcW w:w="11004" w:type="dxa"/>
            <w:gridSpan w:val="3"/>
            <w:shd w:val="clear" w:color="auto" w:fill="D9D9D9"/>
            <w:vAlign w:val="center"/>
          </w:tcPr>
          <w:p w:rsidR="00B14CC9" w:rsidRPr="00D556B1" w:rsidRDefault="008C72E6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4" w:anchor="136.6.4.3_Section_404_Permits_for_Wetlands_and_Streams" w:history="1">
              <w:r w:rsidR="00B14CC9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Wetlands &amp; Streams—Section 404 and 401 Certification</w:t>
              </w:r>
            </w:hyperlink>
            <w:r w:rsidR="00B14CC9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0224A3" w:rsidRPr="00101976" w:rsidTr="000224A3">
        <w:trPr>
          <w:trHeight w:val="432"/>
        </w:trPr>
        <w:tc>
          <w:tcPr>
            <w:tcW w:w="1764" w:type="dxa"/>
            <w:vMerge w:val="restart"/>
            <w:vAlign w:val="center"/>
          </w:tcPr>
          <w:p w:rsidR="000224A3" w:rsidRPr="00B14CC9" w:rsidRDefault="000224A3" w:rsidP="000224A3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 xml:space="preserve">Section </w:t>
            </w:r>
            <w:r w:rsidRPr="00B14CC9">
              <w:rPr>
                <w:b/>
                <w:bCs/>
                <w:color w:val="003366"/>
                <w:sz w:val="18"/>
              </w:rPr>
              <w:t xml:space="preserve">404 </w:t>
            </w:r>
            <w:r>
              <w:rPr>
                <w:b/>
                <w:bCs/>
                <w:color w:val="003366"/>
                <w:sz w:val="18"/>
              </w:rPr>
              <w:t xml:space="preserve">Permit </w:t>
            </w:r>
            <w:r w:rsidRPr="00B14CC9">
              <w:rPr>
                <w:b/>
                <w:bCs/>
                <w:color w:val="003366"/>
                <w:sz w:val="18"/>
              </w:rPr>
              <w:t xml:space="preserve">and 401 </w:t>
            </w:r>
            <w:r>
              <w:rPr>
                <w:b/>
                <w:bCs/>
                <w:color w:val="003366"/>
                <w:sz w:val="18"/>
              </w:rPr>
              <w:t>Certifi</w:t>
            </w:r>
            <w:r w:rsidRPr="00B14CC9">
              <w:rPr>
                <w:b/>
                <w:bCs/>
                <w:color w:val="003366"/>
                <w:sz w:val="18"/>
              </w:rPr>
              <w:t>cation</w:t>
            </w:r>
          </w:p>
        </w:tc>
        <w:tc>
          <w:tcPr>
            <w:tcW w:w="8400" w:type="dxa"/>
            <w:shd w:val="clear" w:color="auto" w:fill="auto"/>
            <w:vAlign w:val="center"/>
          </w:tcPr>
          <w:p w:rsidR="000224A3" w:rsidRPr="00F7130D" w:rsidRDefault="000224A3" w:rsidP="0046354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If your project involves placement of fill, dredging, or </w:t>
            </w:r>
            <w:r w:rsidRPr="0068692C">
              <w:rPr>
                <w:bCs/>
                <w:noProof/>
                <w:sz w:val="18"/>
                <w:szCs w:val="18"/>
                <w:u w:val="single"/>
              </w:rPr>
              <w:t>any</w:t>
            </w:r>
            <w:r>
              <w:rPr>
                <w:bCs/>
                <w:noProof/>
                <w:sz w:val="18"/>
                <w:szCs w:val="18"/>
              </w:rPr>
              <w:t xml:space="preserve"> work within a water body (stream, wetland, pond, or lake), conact the</w:t>
            </w:r>
            <w:r w:rsidRPr="00B14CC9">
              <w:rPr>
                <w:bCs/>
                <w:noProof/>
                <w:sz w:val="18"/>
                <w:szCs w:val="18"/>
              </w:rPr>
              <w:t xml:space="preserve"> appropriate U</w:t>
            </w:r>
            <w:r>
              <w:rPr>
                <w:bCs/>
                <w:noProof/>
                <w:sz w:val="18"/>
                <w:szCs w:val="18"/>
              </w:rPr>
              <w:t>.</w:t>
            </w:r>
            <w:r w:rsidRPr="00B14CC9">
              <w:rPr>
                <w:bCs/>
                <w:noProof/>
                <w:sz w:val="18"/>
                <w:szCs w:val="18"/>
              </w:rPr>
              <w:t>S</w:t>
            </w:r>
            <w:r>
              <w:rPr>
                <w:bCs/>
                <w:noProof/>
                <w:sz w:val="18"/>
                <w:szCs w:val="18"/>
              </w:rPr>
              <w:t xml:space="preserve">. </w:t>
            </w:r>
            <w:r w:rsidRPr="00B14CC9">
              <w:rPr>
                <w:bCs/>
                <w:noProof/>
                <w:sz w:val="18"/>
                <w:szCs w:val="18"/>
              </w:rPr>
              <w:t>A</w:t>
            </w:r>
            <w:r>
              <w:rPr>
                <w:bCs/>
                <w:noProof/>
                <w:sz w:val="18"/>
                <w:szCs w:val="18"/>
              </w:rPr>
              <w:t xml:space="preserve">rmy </w:t>
            </w:r>
            <w:r w:rsidRPr="00B14CC9">
              <w:rPr>
                <w:bCs/>
                <w:noProof/>
                <w:sz w:val="18"/>
                <w:szCs w:val="18"/>
              </w:rPr>
              <w:t>C</w:t>
            </w:r>
            <w:r>
              <w:rPr>
                <w:bCs/>
                <w:noProof/>
                <w:sz w:val="18"/>
                <w:szCs w:val="18"/>
              </w:rPr>
              <w:t xml:space="preserve">orps of </w:t>
            </w:r>
            <w:r w:rsidRPr="00B14CC9">
              <w:rPr>
                <w:bCs/>
                <w:noProof/>
                <w:sz w:val="18"/>
                <w:szCs w:val="18"/>
              </w:rPr>
              <w:t>E</w:t>
            </w:r>
            <w:r>
              <w:rPr>
                <w:bCs/>
                <w:noProof/>
                <w:sz w:val="18"/>
                <w:szCs w:val="18"/>
              </w:rPr>
              <w:t>ngineers (COE)</w:t>
            </w:r>
            <w:r w:rsidRPr="00B14CC9">
              <w:rPr>
                <w:bCs/>
                <w:noProof/>
                <w:sz w:val="18"/>
                <w:szCs w:val="18"/>
              </w:rPr>
              <w:t xml:space="preserve"> District Off</w:t>
            </w:r>
            <w:r>
              <w:rPr>
                <w:bCs/>
                <w:noProof/>
                <w:sz w:val="18"/>
                <w:szCs w:val="18"/>
              </w:rPr>
              <w:t>i</w:t>
            </w:r>
            <w:r w:rsidRPr="00B14CC9">
              <w:rPr>
                <w:bCs/>
                <w:noProof/>
                <w:sz w:val="18"/>
                <w:szCs w:val="18"/>
              </w:rPr>
              <w:t>ce</w:t>
            </w:r>
            <w:r>
              <w:rPr>
                <w:bCs/>
                <w:noProof/>
                <w:sz w:val="18"/>
                <w:szCs w:val="18"/>
              </w:rPr>
              <w:t xml:space="preserve"> to determine whether a permit is needed. </w:t>
            </w:r>
            <w:r w:rsidR="007E60E2">
              <w:rPr>
                <w:bCs/>
                <w:noProof/>
                <w:sz w:val="18"/>
                <w:szCs w:val="18"/>
              </w:rPr>
              <w:t xml:space="preserve"> (Inform the COE that FHWA is the lead federal agency)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224A3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4A3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0224A3" w:rsidRPr="00101976" w:rsidTr="000A374D">
        <w:trPr>
          <w:trHeight w:val="432"/>
        </w:trPr>
        <w:tc>
          <w:tcPr>
            <w:tcW w:w="1764" w:type="dxa"/>
            <w:vMerge/>
          </w:tcPr>
          <w:p w:rsidR="000224A3" w:rsidRPr="00E95B4E" w:rsidRDefault="000224A3" w:rsidP="00B14CC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0224A3" w:rsidRPr="007E4F76" w:rsidRDefault="000224A3" w:rsidP="00C66ABE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 w:rsidRPr="00F7130D">
              <w:rPr>
                <w:bCs/>
                <w:noProof/>
                <w:sz w:val="18"/>
                <w:szCs w:val="18"/>
              </w:rPr>
              <w:t xml:space="preserve">The </w:t>
            </w:r>
            <w:r>
              <w:rPr>
                <w:bCs/>
                <w:noProof/>
                <w:sz w:val="18"/>
                <w:szCs w:val="18"/>
              </w:rPr>
              <w:t>COE</w:t>
            </w:r>
            <w:r w:rsidRPr="00F7130D">
              <w:rPr>
                <w:bCs/>
                <w:noProof/>
                <w:sz w:val="18"/>
                <w:szCs w:val="18"/>
              </w:rPr>
              <w:t xml:space="preserve"> determines </w:t>
            </w:r>
            <w:r>
              <w:rPr>
                <w:bCs/>
                <w:noProof/>
                <w:sz w:val="18"/>
                <w:szCs w:val="18"/>
              </w:rPr>
              <w:t>whether</w:t>
            </w:r>
            <w:r w:rsidRPr="00F7130D">
              <w:rPr>
                <w:bCs/>
                <w:noProof/>
                <w:sz w:val="18"/>
                <w:szCs w:val="18"/>
              </w:rPr>
              <w:t xml:space="preserve"> they have jurisdiction over the body of water</w:t>
            </w:r>
            <w:r w:rsidR="00682810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and whether a permit is required.</w:t>
            </w:r>
          </w:p>
        </w:tc>
      </w:tr>
      <w:tr w:rsidR="000224A3" w:rsidRPr="00101976" w:rsidTr="000224A3">
        <w:trPr>
          <w:trHeight w:val="432"/>
        </w:trPr>
        <w:tc>
          <w:tcPr>
            <w:tcW w:w="1764" w:type="dxa"/>
            <w:vMerge/>
          </w:tcPr>
          <w:p w:rsidR="000224A3" w:rsidRPr="00E95B4E" w:rsidRDefault="000224A3" w:rsidP="00B14CC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auto"/>
            <w:vAlign w:val="center"/>
          </w:tcPr>
          <w:p w:rsidR="000224A3" w:rsidRPr="00E55DF8" w:rsidRDefault="000224A3" w:rsidP="000224A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FA6513">
              <w:rPr>
                <w:bCs/>
                <w:noProof/>
                <w:sz w:val="18"/>
                <w:szCs w:val="18"/>
              </w:rPr>
              <w:t xml:space="preserve">If the project </w:t>
            </w:r>
            <w:r>
              <w:rPr>
                <w:bCs/>
                <w:noProof/>
                <w:sz w:val="18"/>
                <w:szCs w:val="18"/>
              </w:rPr>
              <w:t xml:space="preserve">requires </w:t>
            </w:r>
            <w:r w:rsidRPr="00FA6513">
              <w:rPr>
                <w:bCs/>
                <w:noProof/>
                <w:sz w:val="18"/>
                <w:szCs w:val="18"/>
              </w:rPr>
              <w:t xml:space="preserve">a </w:t>
            </w:r>
            <w:r>
              <w:rPr>
                <w:bCs/>
                <w:noProof/>
                <w:sz w:val="18"/>
                <w:szCs w:val="18"/>
              </w:rPr>
              <w:t xml:space="preserve">Section </w:t>
            </w:r>
            <w:r w:rsidRPr="00FA6513">
              <w:rPr>
                <w:bCs/>
                <w:noProof/>
                <w:sz w:val="18"/>
                <w:szCs w:val="18"/>
              </w:rPr>
              <w:t>404 permi</w:t>
            </w:r>
            <w:r w:rsidRPr="0068692C">
              <w:rPr>
                <w:bCs/>
                <w:strike/>
                <w:noProof/>
                <w:sz w:val="18"/>
                <w:szCs w:val="18"/>
              </w:rPr>
              <w:t>t</w:t>
            </w:r>
            <w:r w:rsidRPr="00FA6513">
              <w:rPr>
                <w:bCs/>
                <w:noProof/>
                <w:sz w:val="18"/>
                <w:szCs w:val="18"/>
              </w:rPr>
              <w:t xml:space="preserve">, </w:t>
            </w:r>
            <w:r>
              <w:rPr>
                <w:bCs/>
                <w:noProof/>
                <w:sz w:val="18"/>
                <w:szCs w:val="18"/>
              </w:rPr>
              <w:t>submit a permit</w:t>
            </w:r>
            <w:r w:rsidRPr="00FA6513">
              <w:rPr>
                <w:bCs/>
                <w:noProof/>
                <w:sz w:val="18"/>
                <w:szCs w:val="18"/>
              </w:rPr>
              <w:t xml:space="preserve"> application to the COE District Office</w:t>
            </w:r>
            <w:r w:rsidR="001F56D7">
              <w:rPr>
                <w:bCs/>
                <w:noProof/>
                <w:sz w:val="18"/>
                <w:szCs w:val="18"/>
              </w:rPr>
              <w:t xml:space="preserve"> (noting that FHWA is the lead)</w:t>
            </w:r>
            <w:r w:rsidRPr="00FA6513">
              <w:rPr>
                <w:bCs/>
                <w:noProof/>
                <w:sz w:val="18"/>
                <w:szCs w:val="18"/>
              </w:rPr>
              <w:t xml:space="preserve">. </w:t>
            </w:r>
            <w:r w:rsidRPr="00B14CC9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T</w:t>
            </w:r>
            <w:r w:rsidRPr="00B14CC9">
              <w:rPr>
                <w:bCs/>
                <w:noProof/>
                <w:sz w:val="18"/>
                <w:szCs w:val="18"/>
              </w:rPr>
              <w:t>he application</w:t>
            </w:r>
            <w:r>
              <w:rPr>
                <w:bCs/>
                <w:noProof/>
                <w:sz w:val="18"/>
                <w:szCs w:val="18"/>
              </w:rPr>
              <w:t xml:space="preserve"> should</w:t>
            </w:r>
            <w:r w:rsidRPr="00B14CC9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include</w:t>
            </w:r>
            <w:r w:rsidRPr="00B14CC9">
              <w:rPr>
                <w:bCs/>
                <w:noProof/>
                <w:sz w:val="18"/>
                <w:szCs w:val="18"/>
              </w:rPr>
              <w:t xml:space="preserve"> pictures of the impacted water body, preliminary plans, maps, and whatever else is available pertaining to the project.</w:t>
            </w:r>
            <w:r w:rsidRPr="00463547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If </w:t>
            </w:r>
            <w:r w:rsidRPr="00463547">
              <w:rPr>
                <w:bCs/>
                <w:noProof/>
                <w:sz w:val="18"/>
                <w:szCs w:val="18"/>
              </w:rPr>
              <w:t>channel modifications</w:t>
            </w:r>
            <w:r>
              <w:rPr>
                <w:bCs/>
                <w:noProof/>
                <w:sz w:val="18"/>
                <w:szCs w:val="18"/>
              </w:rPr>
              <w:t xml:space="preserve"> are p</w:t>
            </w:r>
            <w:r w:rsidRPr="00463547">
              <w:rPr>
                <w:bCs/>
                <w:noProof/>
                <w:sz w:val="18"/>
                <w:szCs w:val="18"/>
              </w:rPr>
              <w:t>lanned</w:t>
            </w:r>
            <w:r>
              <w:rPr>
                <w:bCs/>
                <w:noProof/>
                <w:sz w:val="18"/>
                <w:szCs w:val="18"/>
              </w:rPr>
              <w:t>, t</w:t>
            </w:r>
            <w:r w:rsidRPr="00463547">
              <w:rPr>
                <w:bCs/>
                <w:noProof/>
                <w:sz w:val="18"/>
                <w:szCs w:val="18"/>
              </w:rPr>
              <w:t xml:space="preserve">he permit application must </w:t>
            </w:r>
            <w:r>
              <w:rPr>
                <w:bCs/>
                <w:noProof/>
                <w:sz w:val="18"/>
                <w:szCs w:val="18"/>
              </w:rPr>
              <w:t>indicate</w:t>
            </w:r>
            <w:r w:rsidRPr="00463547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that and</w:t>
            </w:r>
            <w:r w:rsidRPr="00463547">
              <w:rPr>
                <w:bCs/>
                <w:noProof/>
                <w:sz w:val="18"/>
                <w:szCs w:val="18"/>
              </w:rPr>
              <w:t xml:space="preserve"> include justification for any channel changes</w:t>
            </w:r>
            <w:r>
              <w:rPr>
                <w:bCs/>
                <w:noProof/>
                <w:sz w:val="18"/>
                <w:szCs w:val="18"/>
              </w:rPr>
              <w:t xml:space="preserve"> as well as</w:t>
            </w:r>
            <w:r w:rsidRPr="00463547">
              <w:rPr>
                <w:bCs/>
                <w:noProof/>
                <w:sz w:val="18"/>
                <w:szCs w:val="18"/>
              </w:rPr>
              <w:t xml:space="preserve"> an evaluation of impacts to the channel.  </w:t>
            </w:r>
            <w:r w:rsidR="007E60E2">
              <w:rPr>
                <w:bCs/>
                <w:noProof/>
                <w:sz w:val="18"/>
                <w:szCs w:val="18"/>
              </w:rPr>
              <w:t>(The COE will require 106 and T&amp;E to be complete to issue the permit)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0224A3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4A3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0224A3" w:rsidRPr="00101976" w:rsidTr="00E55DF8">
        <w:trPr>
          <w:trHeight w:val="432"/>
        </w:trPr>
        <w:tc>
          <w:tcPr>
            <w:tcW w:w="1764" w:type="dxa"/>
            <w:vMerge/>
          </w:tcPr>
          <w:p w:rsidR="000224A3" w:rsidRPr="00E95B4E" w:rsidRDefault="000224A3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0224A3" w:rsidRPr="00E55DF8" w:rsidRDefault="000224A3" w:rsidP="00132A0D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463547">
              <w:rPr>
                <w:bCs/>
                <w:noProof/>
                <w:sz w:val="18"/>
                <w:szCs w:val="18"/>
              </w:rPr>
              <w:t xml:space="preserve">In some cases, a 401 certification must be obtained by </w:t>
            </w:r>
            <w:r>
              <w:rPr>
                <w:bCs/>
                <w:noProof/>
                <w:sz w:val="18"/>
                <w:szCs w:val="18"/>
              </w:rPr>
              <w:t xml:space="preserve">also </w:t>
            </w:r>
            <w:r w:rsidRPr="00463547">
              <w:rPr>
                <w:bCs/>
                <w:noProof/>
                <w:sz w:val="18"/>
                <w:szCs w:val="18"/>
              </w:rPr>
              <w:t>submitting the 404 application to DNR.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0224A3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4A3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Align w:val="center"/>
          </w:tcPr>
          <w:p w:rsidR="00B14CC9" w:rsidRPr="00E95B4E" w:rsidRDefault="00463547" w:rsidP="00463547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463547">
              <w:rPr>
                <w:b/>
                <w:bCs/>
                <w:color w:val="003366"/>
                <w:sz w:val="18"/>
              </w:rPr>
              <w:t>Construction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B14CC9" w:rsidRPr="00E55DF8" w:rsidRDefault="00463547" w:rsidP="00132A0D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463547">
              <w:rPr>
                <w:bCs/>
                <w:noProof/>
                <w:sz w:val="18"/>
                <w:szCs w:val="18"/>
              </w:rPr>
              <w:t xml:space="preserve">Follow any </w:t>
            </w:r>
            <w:r w:rsidR="00132A0D">
              <w:rPr>
                <w:bCs/>
                <w:noProof/>
                <w:sz w:val="18"/>
                <w:szCs w:val="18"/>
              </w:rPr>
              <w:t>condition</w:t>
            </w:r>
            <w:r w:rsidRPr="00463547">
              <w:rPr>
                <w:bCs/>
                <w:noProof/>
                <w:sz w:val="18"/>
                <w:szCs w:val="18"/>
              </w:rPr>
              <w:t>s required by the 404 permit and 401 certification.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A0D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32A0D" w:rsidRPr="00D556B1" w:rsidTr="00132A0D">
        <w:tc>
          <w:tcPr>
            <w:tcW w:w="11004" w:type="dxa"/>
            <w:gridSpan w:val="3"/>
            <w:shd w:val="clear" w:color="auto" w:fill="D9D9D9"/>
            <w:vAlign w:val="center"/>
          </w:tcPr>
          <w:p w:rsidR="00132A0D" w:rsidRPr="00D556B1" w:rsidRDefault="008C72E6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5" w:anchor="136.6.4.5_Threatened_and_Endangered_Species" w:history="1">
              <w:r w:rsidR="00132A0D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Threatened and Endangered Species</w:t>
              </w:r>
            </w:hyperlink>
            <w:r w:rsidR="00132A0D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574798" w:rsidRPr="00101976" w:rsidTr="00132A0D">
        <w:trPr>
          <w:trHeight w:val="432"/>
        </w:trPr>
        <w:tc>
          <w:tcPr>
            <w:tcW w:w="1764" w:type="dxa"/>
            <w:vMerge w:val="restart"/>
            <w:vAlign w:val="center"/>
          </w:tcPr>
          <w:p w:rsidR="00574798" w:rsidRPr="00E95B4E" w:rsidRDefault="00574798" w:rsidP="003D1EB3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Coordin</w:t>
            </w:r>
            <w:r w:rsidRPr="00132A0D">
              <w:rPr>
                <w:b/>
                <w:bCs/>
                <w:color w:val="003366"/>
                <w:sz w:val="18"/>
              </w:rPr>
              <w:t>ation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574798" w:rsidRPr="00E55DF8" w:rsidRDefault="00574798" w:rsidP="00574798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574798">
              <w:rPr>
                <w:bCs/>
                <w:noProof/>
                <w:sz w:val="18"/>
                <w:szCs w:val="18"/>
              </w:rPr>
              <w:t xml:space="preserve">Submit complete project information to MDC </w:t>
            </w:r>
            <w:r w:rsidR="007E60E2">
              <w:rPr>
                <w:bCs/>
                <w:noProof/>
                <w:sz w:val="18"/>
                <w:szCs w:val="18"/>
              </w:rPr>
              <w:t>via the Heritage database</w:t>
            </w:r>
            <w:r w:rsidR="00DB7CD6">
              <w:rPr>
                <w:bCs/>
                <w:noProof/>
                <w:sz w:val="18"/>
                <w:szCs w:val="18"/>
              </w:rPr>
              <w:t xml:space="preserve"> (2 step process if Level 2 or 3)</w:t>
            </w:r>
            <w:r w:rsidR="007E60E2">
              <w:rPr>
                <w:bCs/>
                <w:noProof/>
                <w:sz w:val="18"/>
                <w:szCs w:val="18"/>
              </w:rPr>
              <w:t xml:space="preserve"> </w:t>
            </w:r>
            <w:r w:rsidRPr="00574798">
              <w:rPr>
                <w:bCs/>
                <w:noProof/>
                <w:sz w:val="18"/>
                <w:szCs w:val="18"/>
              </w:rPr>
              <w:t xml:space="preserve">and FWS </w:t>
            </w:r>
            <w:r w:rsidR="007E60E2">
              <w:rPr>
                <w:bCs/>
                <w:noProof/>
                <w:sz w:val="18"/>
                <w:szCs w:val="18"/>
              </w:rPr>
              <w:t xml:space="preserve">via IPaC </w:t>
            </w:r>
            <w:r w:rsidRPr="00574798">
              <w:rPr>
                <w:bCs/>
                <w:noProof/>
                <w:sz w:val="18"/>
                <w:szCs w:val="18"/>
              </w:rPr>
              <w:t>for initial screening, requesting species lists for the action area.</w:t>
            </w:r>
            <w:r w:rsidR="00DB7CD6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574798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798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574798" w:rsidRPr="00101976" w:rsidTr="00E55DF8">
        <w:trPr>
          <w:trHeight w:val="432"/>
        </w:trPr>
        <w:tc>
          <w:tcPr>
            <w:tcW w:w="1764" w:type="dxa"/>
            <w:vMerge/>
          </w:tcPr>
          <w:p w:rsidR="00574798" w:rsidRPr="00E95B4E" w:rsidRDefault="00574798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574798" w:rsidRPr="00E55DF8" w:rsidRDefault="00574798" w:rsidP="004E075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574798">
              <w:rPr>
                <w:bCs/>
                <w:noProof/>
                <w:sz w:val="18"/>
                <w:szCs w:val="18"/>
              </w:rPr>
              <w:t xml:space="preserve">Report findings and </w:t>
            </w:r>
            <w:r>
              <w:rPr>
                <w:bCs/>
                <w:noProof/>
                <w:sz w:val="18"/>
                <w:szCs w:val="18"/>
              </w:rPr>
              <w:t xml:space="preserve">provide </w:t>
            </w:r>
            <w:r w:rsidRPr="00574798">
              <w:rPr>
                <w:bCs/>
                <w:noProof/>
                <w:sz w:val="18"/>
                <w:szCs w:val="18"/>
              </w:rPr>
              <w:t xml:space="preserve">copies of </w:t>
            </w:r>
            <w:r>
              <w:rPr>
                <w:bCs/>
                <w:noProof/>
                <w:sz w:val="18"/>
                <w:szCs w:val="18"/>
              </w:rPr>
              <w:t xml:space="preserve">all </w:t>
            </w:r>
            <w:r w:rsidRPr="00574798">
              <w:rPr>
                <w:bCs/>
                <w:noProof/>
                <w:sz w:val="18"/>
                <w:szCs w:val="18"/>
              </w:rPr>
              <w:t>correspondence to and from MDC and FWS to the MoDOT district contact</w:t>
            </w:r>
            <w:r w:rsidR="007E60E2">
              <w:rPr>
                <w:bCs/>
                <w:noProof/>
                <w:sz w:val="18"/>
                <w:szCs w:val="18"/>
              </w:rPr>
              <w:t xml:space="preserve"> and MoDOT Environmental</w:t>
            </w:r>
            <w:r w:rsidRPr="00574798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574798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798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574798" w:rsidRPr="00101976" w:rsidTr="00E55DF8">
        <w:trPr>
          <w:trHeight w:val="432"/>
        </w:trPr>
        <w:tc>
          <w:tcPr>
            <w:tcW w:w="1764" w:type="dxa"/>
            <w:vMerge/>
          </w:tcPr>
          <w:p w:rsidR="00574798" w:rsidRPr="00463547" w:rsidRDefault="00574798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574798" w:rsidRPr="00132A0D" w:rsidRDefault="00574798" w:rsidP="006B73B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574798">
              <w:rPr>
                <w:bCs/>
                <w:noProof/>
                <w:sz w:val="18"/>
                <w:szCs w:val="18"/>
              </w:rPr>
              <w:t>Submit complete project information, photos of the action area</w:t>
            </w:r>
            <w:r w:rsidR="00DB7CD6">
              <w:rPr>
                <w:bCs/>
                <w:noProof/>
                <w:sz w:val="18"/>
                <w:szCs w:val="18"/>
              </w:rPr>
              <w:t xml:space="preserve"> and any trees to be removed</w:t>
            </w:r>
            <w:r w:rsidRPr="00574798">
              <w:rPr>
                <w:bCs/>
                <w:noProof/>
                <w:sz w:val="18"/>
                <w:szCs w:val="18"/>
              </w:rPr>
              <w:t xml:space="preserve">, plans to date, </w:t>
            </w:r>
            <w:r w:rsidR="007E60E2">
              <w:rPr>
                <w:bCs/>
                <w:noProof/>
                <w:sz w:val="18"/>
                <w:szCs w:val="18"/>
              </w:rPr>
              <w:t xml:space="preserve">species impact assessments, </w:t>
            </w:r>
            <w:r w:rsidRPr="00574798">
              <w:rPr>
                <w:bCs/>
                <w:noProof/>
                <w:sz w:val="18"/>
                <w:szCs w:val="18"/>
              </w:rPr>
              <w:t>maps</w:t>
            </w:r>
            <w:r w:rsidR="006B73B7">
              <w:rPr>
                <w:bCs/>
                <w:noProof/>
                <w:sz w:val="18"/>
                <w:szCs w:val="18"/>
              </w:rPr>
              <w:t>,</w:t>
            </w:r>
            <w:r w:rsidRPr="00574798">
              <w:rPr>
                <w:bCs/>
                <w:noProof/>
                <w:sz w:val="18"/>
                <w:szCs w:val="18"/>
              </w:rPr>
              <w:t xml:space="preserve"> estimates and locations of ground disturbance, temporary impacts, and vegetation removal to MoDOT district contact</w:t>
            </w:r>
            <w:r w:rsidR="007E60E2">
              <w:rPr>
                <w:bCs/>
                <w:noProof/>
                <w:sz w:val="18"/>
                <w:szCs w:val="18"/>
              </w:rPr>
              <w:t xml:space="preserve"> and MoDOT Environmental</w:t>
            </w:r>
            <w:r w:rsidRPr="00574798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574798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798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6B73B7" w:rsidRPr="00101976" w:rsidTr="006B73B7">
        <w:trPr>
          <w:trHeight w:val="432"/>
        </w:trPr>
        <w:tc>
          <w:tcPr>
            <w:tcW w:w="1764" w:type="dxa"/>
            <w:vMerge/>
          </w:tcPr>
          <w:p w:rsidR="006B73B7" w:rsidRPr="00463547" w:rsidRDefault="006B73B7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6B73B7" w:rsidRPr="007E4F76" w:rsidRDefault="006B73B7" w:rsidP="00D82C87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 w:rsidRPr="006B73B7">
              <w:rPr>
                <w:bCs/>
                <w:noProof/>
                <w:sz w:val="18"/>
                <w:szCs w:val="18"/>
              </w:rPr>
              <w:t xml:space="preserve">Incorporate all necessary Job Special Provisions into final plans to avoid impacting these species. </w:t>
            </w:r>
            <w:r w:rsidRPr="00574798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B73B7" w:rsidRPr="007E4F76" w:rsidRDefault="00717DA2" w:rsidP="006B73B7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3B7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32A0D" w:rsidRPr="00101976" w:rsidTr="00E55DF8">
        <w:trPr>
          <w:trHeight w:val="432"/>
        </w:trPr>
        <w:tc>
          <w:tcPr>
            <w:tcW w:w="1764" w:type="dxa"/>
          </w:tcPr>
          <w:p w:rsidR="00132A0D" w:rsidRPr="00E95B4E" w:rsidRDefault="00132A0D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463547">
              <w:rPr>
                <w:b/>
                <w:bCs/>
                <w:color w:val="003366"/>
                <w:sz w:val="18"/>
              </w:rPr>
              <w:t>Construction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132A0D" w:rsidRPr="00E55DF8" w:rsidRDefault="00574798" w:rsidP="00574798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574798">
              <w:rPr>
                <w:bCs/>
                <w:noProof/>
                <w:sz w:val="18"/>
                <w:szCs w:val="18"/>
              </w:rPr>
              <w:t>Include/implement all conditions from design (Job Special Provisions) in the construction contract to avoid impacting protected species and habitats.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32A0D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A0D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32A0D" w:rsidRPr="00D556B1" w:rsidTr="00132A0D">
        <w:tc>
          <w:tcPr>
            <w:tcW w:w="11004" w:type="dxa"/>
            <w:gridSpan w:val="3"/>
            <w:shd w:val="clear" w:color="auto" w:fill="D9D9D9"/>
            <w:vAlign w:val="center"/>
          </w:tcPr>
          <w:p w:rsidR="00132A0D" w:rsidRPr="00D556B1" w:rsidRDefault="008C72E6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6" w:anchor="136.6.4.6_Base_Floodplain_and_Regulatory_Floodway" w:history="1">
              <w:r w:rsidR="00132A0D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Floodplain and Regulatory Floodway</w:t>
              </w:r>
            </w:hyperlink>
            <w:r w:rsidR="00132A0D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2A3088" w:rsidRPr="00101976" w:rsidTr="000224A3">
        <w:trPr>
          <w:trHeight w:val="432"/>
        </w:trPr>
        <w:tc>
          <w:tcPr>
            <w:tcW w:w="1764" w:type="dxa"/>
            <w:vMerge w:val="restart"/>
            <w:vAlign w:val="center"/>
          </w:tcPr>
          <w:p w:rsidR="002A3088" w:rsidRPr="00E95B4E" w:rsidRDefault="002A3088" w:rsidP="000224A3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C60E77">
              <w:rPr>
                <w:b/>
                <w:bCs/>
                <w:color w:val="003366"/>
                <w:sz w:val="18"/>
              </w:rPr>
              <w:t>Determinations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2A3088" w:rsidRPr="00E55DF8" w:rsidRDefault="002A3088" w:rsidP="007E684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C60E77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>whether</w:t>
            </w:r>
            <w:r w:rsidRPr="00C60E77">
              <w:rPr>
                <w:bCs/>
                <w:noProof/>
                <w:sz w:val="18"/>
                <w:szCs w:val="18"/>
              </w:rPr>
              <w:t xml:space="preserve"> the community where the project is located participates in the National Flood Insurance Program (NFIP).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A3088" w:rsidRPr="007E4F76" w:rsidRDefault="002A3088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A3088" w:rsidRPr="00101976" w:rsidTr="00E55DF8">
        <w:trPr>
          <w:trHeight w:val="432"/>
        </w:trPr>
        <w:tc>
          <w:tcPr>
            <w:tcW w:w="1764" w:type="dxa"/>
            <w:vMerge/>
          </w:tcPr>
          <w:p w:rsidR="002A3088" w:rsidRPr="00E95B4E" w:rsidRDefault="002A3088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2A3088" w:rsidRPr="00E55DF8" w:rsidRDefault="002A3088" w:rsidP="007E684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C60E77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>whether any part of</w:t>
            </w:r>
            <w:r w:rsidRPr="00C60E77">
              <w:rPr>
                <w:bCs/>
                <w:noProof/>
                <w:sz w:val="18"/>
                <w:szCs w:val="18"/>
              </w:rPr>
              <w:t xml:space="preserve"> the project is located in a</w:t>
            </w:r>
            <w:r w:rsidRPr="006B73B7">
              <w:rPr>
                <w:bCs/>
                <w:noProof/>
                <w:sz w:val="18"/>
                <w:szCs w:val="18"/>
              </w:rPr>
              <w:t xml:space="preserve"> Special Flood Hazard Area (SFHA)—i.e., in the base (1%) floodplain—</w:t>
            </w:r>
            <w:r w:rsidRPr="00C60E77">
              <w:rPr>
                <w:bCs/>
                <w:noProof/>
                <w:sz w:val="18"/>
                <w:szCs w:val="18"/>
              </w:rPr>
              <w:t>and/or regulatory floodway.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A3088" w:rsidRPr="007E4F76" w:rsidRDefault="002A3088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A3088" w:rsidRPr="00101976" w:rsidTr="000224A3">
        <w:trPr>
          <w:trHeight w:val="432"/>
        </w:trPr>
        <w:tc>
          <w:tcPr>
            <w:tcW w:w="1764" w:type="dxa"/>
            <w:vMerge/>
          </w:tcPr>
          <w:p w:rsidR="002A3088" w:rsidRPr="00E95B4E" w:rsidRDefault="002A3088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FFFFF"/>
            <w:vAlign w:val="center"/>
          </w:tcPr>
          <w:p w:rsidR="002A3088" w:rsidRPr="007E4F76" w:rsidRDefault="002A3088" w:rsidP="000224A3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No</w:t>
            </w:r>
            <w:r w:rsidRPr="00C60E77">
              <w:rPr>
                <w:bCs/>
                <w:noProof/>
                <w:sz w:val="18"/>
                <w:szCs w:val="18"/>
              </w:rPr>
              <w:t xml:space="preserve"> floodplain permit is </w:t>
            </w:r>
            <w:r>
              <w:rPr>
                <w:bCs/>
                <w:noProof/>
                <w:sz w:val="18"/>
                <w:szCs w:val="18"/>
              </w:rPr>
              <w:t>r</w:t>
            </w:r>
            <w:r w:rsidRPr="00C60E77">
              <w:rPr>
                <w:bCs/>
                <w:noProof/>
                <w:sz w:val="18"/>
                <w:szCs w:val="18"/>
              </w:rPr>
              <w:t xml:space="preserve">equired if the community does not participate in the NFIP, </w:t>
            </w:r>
            <w:r>
              <w:rPr>
                <w:bCs/>
                <w:noProof/>
                <w:sz w:val="18"/>
                <w:szCs w:val="18"/>
              </w:rPr>
              <w:t xml:space="preserve">if </w:t>
            </w:r>
            <w:r w:rsidRPr="00C60E77">
              <w:rPr>
                <w:bCs/>
                <w:noProof/>
                <w:sz w:val="18"/>
                <w:szCs w:val="18"/>
              </w:rPr>
              <w:t xml:space="preserve">the area has not been mapped to show flood hazard boundaries, or </w:t>
            </w:r>
            <w:r>
              <w:rPr>
                <w:bCs/>
                <w:noProof/>
                <w:sz w:val="18"/>
                <w:szCs w:val="18"/>
              </w:rPr>
              <w:t xml:space="preserve">if </w:t>
            </w:r>
            <w:r w:rsidRPr="00C60E77">
              <w:rPr>
                <w:bCs/>
                <w:noProof/>
                <w:sz w:val="18"/>
                <w:szCs w:val="18"/>
              </w:rPr>
              <w:t>the project is not in the floodplain.</w:t>
            </w:r>
          </w:p>
        </w:tc>
      </w:tr>
      <w:tr w:rsidR="002A3088" w:rsidRPr="00101976" w:rsidTr="000224A3">
        <w:trPr>
          <w:trHeight w:val="432"/>
        </w:trPr>
        <w:tc>
          <w:tcPr>
            <w:tcW w:w="1764" w:type="dxa"/>
            <w:vMerge/>
          </w:tcPr>
          <w:p w:rsidR="002A3088" w:rsidRPr="00E95B4E" w:rsidRDefault="002A3088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FFFFF"/>
            <w:vAlign w:val="center"/>
          </w:tcPr>
          <w:p w:rsidR="002A3088" w:rsidRDefault="002A3088" w:rsidP="000224A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Notify MoDOT if any part of the project is on a MoDOT-owned facility.</w:t>
            </w:r>
          </w:p>
        </w:tc>
      </w:tr>
      <w:tr w:rsidR="002A3088" w:rsidRPr="00101976" w:rsidTr="000224A3">
        <w:trPr>
          <w:trHeight w:val="432"/>
        </w:trPr>
        <w:tc>
          <w:tcPr>
            <w:tcW w:w="1764" w:type="dxa"/>
            <w:vMerge/>
          </w:tcPr>
          <w:p w:rsidR="002A3088" w:rsidRPr="00E95B4E" w:rsidRDefault="002A3088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FFFFF"/>
            <w:vAlign w:val="center"/>
          </w:tcPr>
          <w:p w:rsidR="002A3088" w:rsidRDefault="002A3088" w:rsidP="000224A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Per 23 CFR 650.111(e) include a summary in the environmental review documents.</w:t>
            </w:r>
          </w:p>
        </w:tc>
      </w:tr>
      <w:tr w:rsidR="00000CBB" w:rsidRPr="00101976" w:rsidTr="00000CBB">
        <w:trPr>
          <w:trHeight w:val="432"/>
        </w:trPr>
        <w:tc>
          <w:tcPr>
            <w:tcW w:w="1764" w:type="dxa"/>
            <w:vMerge w:val="restart"/>
            <w:vAlign w:val="center"/>
          </w:tcPr>
          <w:p w:rsidR="00000CBB" w:rsidRPr="00E95B4E" w:rsidRDefault="00000CBB" w:rsidP="00000CBB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C60E77">
              <w:rPr>
                <w:b/>
                <w:bCs/>
                <w:color w:val="003366"/>
                <w:sz w:val="18"/>
              </w:rPr>
              <w:t>Permits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000CBB" w:rsidRPr="00C60E77" w:rsidRDefault="00000CBB" w:rsidP="00000CB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C60E77">
              <w:rPr>
                <w:bCs/>
                <w:noProof/>
                <w:sz w:val="18"/>
                <w:szCs w:val="18"/>
              </w:rPr>
              <w:t>If the project is in a floodway, the LPA must obtain a “</w:t>
            </w:r>
            <w:r>
              <w:rPr>
                <w:bCs/>
                <w:noProof/>
                <w:sz w:val="18"/>
                <w:szCs w:val="18"/>
              </w:rPr>
              <w:t>N</w:t>
            </w:r>
            <w:r w:rsidRPr="00C60E77">
              <w:rPr>
                <w:bCs/>
                <w:noProof/>
                <w:sz w:val="18"/>
                <w:szCs w:val="18"/>
              </w:rPr>
              <w:t xml:space="preserve">o-Rise” Certification for </w:t>
            </w:r>
            <w:r>
              <w:rPr>
                <w:bCs/>
                <w:noProof/>
                <w:sz w:val="18"/>
                <w:szCs w:val="18"/>
              </w:rPr>
              <w:t>d</w:t>
            </w:r>
            <w:r w:rsidRPr="00C60E77">
              <w:rPr>
                <w:bCs/>
                <w:noProof/>
                <w:sz w:val="18"/>
                <w:szCs w:val="18"/>
              </w:rPr>
              <w:t xml:space="preserve">evelopment in the </w:t>
            </w:r>
            <w:r>
              <w:rPr>
                <w:bCs/>
                <w:noProof/>
                <w:sz w:val="18"/>
                <w:szCs w:val="18"/>
              </w:rPr>
              <w:t>r</w:t>
            </w:r>
            <w:r w:rsidRPr="00C60E77">
              <w:rPr>
                <w:bCs/>
                <w:noProof/>
                <w:sz w:val="18"/>
                <w:szCs w:val="18"/>
              </w:rPr>
              <w:t xml:space="preserve">egulatory </w:t>
            </w:r>
            <w:r>
              <w:rPr>
                <w:bCs/>
                <w:noProof/>
                <w:sz w:val="18"/>
                <w:szCs w:val="18"/>
              </w:rPr>
              <w:t>f</w:t>
            </w:r>
            <w:r w:rsidRPr="00C60E77">
              <w:rPr>
                <w:bCs/>
                <w:noProof/>
                <w:sz w:val="18"/>
                <w:szCs w:val="18"/>
              </w:rPr>
              <w:t>loodway</w:t>
            </w:r>
            <w:r>
              <w:rPr>
                <w:bCs/>
                <w:noProof/>
                <w:sz w:val="18"/>
                <w:szCs w:val="18"/>
              </w:rPr>
              <w:t xml:space="preserve"> before obtaining the floodplain development permit</w:t>
            </w:r>
            <w:r w:rsidRPr="00C60E77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000CBB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CBB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000CBB" w:rsidRPr="00101976" w:rsidTr="00E55DF8">
        <w:trPr>
          <w:trHeight w:val="432"/>
        </w:trPr>
        <w:tc>
          <w:tcPr>
            <w:tcW w:w="1764" w:type="dxa"/>
            <w:vMerge/>
          </w:tcPr>
          <w:p w:rsidR="00000CBB" w:rsidRPr="00E95B4E" w:rsidRDefault="00000CBB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000CBB" w:rsidRPr="00C60E77" w:rsidRDefault="00000CBB" w:rsidP="00000CB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C60E77">
              <w:rPr>
                <w:bCs/>
                <w:noProof/>
                <w:sz w:val="18"/>
                <w:szCs w:val="18"/>
              </w:rPr>
              <w:t xml:space="preserve">Contact the local floodplain administrator to obtain a </w:t>
            </w:r>
            <w:r>
              <w:rPr>
                <w:bCs/>
                <w:noProof/>
                <w:sz w:val="18"/>
                <w:szCs w:val="18"/>
              </w:rPr>
              <w:t>f</w:t>
            </w:r>
            <w:r w:rsidRPr="00C60E77">
              <w:rPr>
                <w:bCs/>
                <w:noProof/>
                <w:sz w:val="18"/>
                <w:szCs w:val="18"/>
              </w:rPr>
              <w:t xml:space="preserve">loodplain </w:t>
            </w:r>
            <w:r>
              <w:rPr>
                <w:bCs/>
                <w:noProof/>
                <w:sz w:val="18"/>
                <w:szCs w:val="18"/>
              </w:rPr>
              <w:t>d</w:t>
            </w:r>
            <w:r w:rsidRPr="00C60E77">
              <w:rPr>
                <w:bCs/>
                <w:noProof/>
                <w:sz w:val="18"/>
                <w:szCs w:val="18"/>
              </w:rPr>
              <w:t xml:space="preserve">evelopment </w:t>
            </w:r>
            <w:r>
              <w:rPr>
                <w:bCs/>
                <w:noProof/>
                <w:sz w:val="18"/>
                <w:szCs w:val="18"/>
              </w:rPr>
              <w:t>p</w:t>
            </w:r>
            <w:r w:rsidRPr="00C60E77">
              <w:rPr>
                <w:bCs/>
                <w:noProof/>
                <w:sz w:val="18"/>
                <w:szCs w:val="18"/>
              </w:rPr>
              <w:t>ermit.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000CBB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CBB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CA7139" w:rsidRPr="00D556B1" w:rsidTr="00CA7139">
        <w:tc>
          <w:tcPr>
            <w:tcW w:w="11004" w:type="dxa"/>
            <w:gridSpan w:val="3"/>
            <w:shd w:val="clear" w:color="auto" w:fill="D9D9D9"/>
            <w:vAlign w:val="center"/>
          </w:tcPr>
          <w:p w:rsidR="00CA7139" w:rsidRPr="00D556B1" w:rsidRDefault="008C72E6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7" w:anchor="136.6.4.7_State_Emergency_Management_Agency_.28SEMA.29.2FFederal_Emergency_Management_Agency_.28FEMA.29_Buyout_Lands" w:history="1">
              <w:r w:rsidR="00CA7139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Flood BuyoUT LANDS</w:t>
              </w:r>
            </w:hyperlink>
            <w:r w:rsidR="00CA7139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4307C3" w:rsidRPr="00101976" w:rsidTr="00CA7139">
        <w:trPr>
          <w:trHeight w:val="432"/>
        </w:trPr>
        <w:tc>
          <w:tcPr>
            <w:tcW w:w="1764" w:type="dxa"/>
            <w:vAlign w:val="center"/>
          </w:tcPr>
          <w:p w:rsidR="004307C3" w:rsidRPr="00E95B4E" w:rsidRDefault="004307C3" w:rsidP="005D615A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C60E77">
              <w:rPr>
                <w:b/>
                <w:bCs/>
                <w:color w:val="003366"/>
                <w:sz w:val="18"/>
              </w:rPr>
              <w:t>Determination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4307C3" w:rsidRPr="00E55DF8" w:rsidRDefault="004307C3" w:rsidP="004307C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C60E77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>whether the project require</w:t>
            </w:r>
            <w:r w:rsidRPr="00C60E77">
              <w:rPr>
                <w:bCs/>
                <w:noProof/>
                <w:sz w:val="18"/>
                <w:szCs w:val="18"/>
              </w:rPr>
              <w:t xml:space="preserve">s the </w:t>
            </w:r>
            <w:r>
              <w:rPr>
                <w:bCs/>
                <w:noProof/>
                <w:sz w:val="18"/>
                <w:szCs w:val="18"/>
              </w:rPr>
              <w:t>use of a FEMA buyout property.</w:t>
            </w:r>
            <w:r w:rsidRPr="00C60E77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4307C3" w:rsidRPr="007E4F76" w:rsidRDefault="00717DA2" w:rsidP="00CA713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7C3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4307C3" w:rsidRPr="00101976" w:rsidTr="00CA7139">
        <w:trPr>
          <w:trHeight w:val="432"/>
        </w:trPr>
        <w:tc>
          <w:tcPr>
            <w:tcW w:w="1764" w:type="dxa"/>
          </w:tcPr>
          <w:p w:rsidR="004307C3" w:rsidRPr="00E95B4E" w:rsidRDefault="005D615A" w:rsidP="00CA713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154496">
              <w:rPr>
                <w:b/>
                <w:color w:val="003366"/>
                <w:sz w:val="18"/>
              </w:rPr>
              <w:t>Coordination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4307C3" w:rsidRPr="00E55DF8" w:rsidRDefault="004307C3" w:rsidP="004E075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Contact</w:t>
            </w:r>
            <w:r w:rsidRPr="004E0751">
              <w:rPr>
                <w:bCs/>
                <w:noProof/>
                <w:sz w:val="18"/>
                <w:szCs w:val="18"/>
              </w:rPr>
              <w:t xml:space="preserve"> FEMA</w:t>
            </w:r>
            <w:r>
              <w:rPr>
                <w:bCs/>
                <w:noProof/>
                <w:sz w:val="18"/>
                <w:szCs w:val="18"/>
              </w:rPr>
              <w:t xml:space="preserve"> prior to a</w:t>
            </w:r>
            <w:r w:rsidRPr="004E0751">
              <w:rPr>
                <w:bCs/>
                <w:noProof/>
                <w:sz w:val="18"/>
                <w:szCs w:val="18"/>
              </w:rPr>
              <w:t>ny project decision involving a buyout property</w:t>
            </w:r>
            <w:r w:rsidRPr="00C60E77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4307C3" w:rsidRPr="007E4F76" w:rsidRDefault="00717DA2" w:rsidP="00CA713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7C3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AF2E6D" w:rsidRPr="00D556B1" w:rsidTr="00AF2E6D">
        <w:tc>
          <w:tcPr>
            <w:tcW w:w="11004" w:type="dxa"/>
            <w:gridSpan w:val="3"/>
            <w:shd w:val="clear" w:color="auto" w:fill="D9D9D9"/>
            <w:vAlign w:val="center"/>
          </w:tcPr>
          <w:p w:rsidR="00AF2E6D" w:rsidRPr="00D556B1" w:rsidRDefault="008C72E6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8" w:anchor="136.6.4.8_Stormwater_and_Erosion_Control" w:history="1">
              <w:r w:rsidR="00AF2E6D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Stormwater and Erosion Control</w:t>
              </w:r>
            </w:hyperlink>
            <w:r w:rsidR="00AF2E6D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C60E77" w:rsidRPr="00101976" w:rsidTr="00E55DF8">
        <w:trPr>
          <w:trHeight w:val="432"/>
        </w:trPr>
        <w:tc>
          <w:tcPr>
            <w:tcW w:w="1764" w:type="dxa"/>
          </w:tcPr>
          <w:p w:rsidR="00C60E77" w:rsidRPr="00E95B4E" w:rsidRDefault="00DE0E05" w:rsidP="00DE0E05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Determine Need f</w:t>
            </w:r>
            <w:r w:rsidRPr="00DE0E05">
              <w:rPr>
                <w:b/>
                <w:bCs/>
                <w:color w:val="003366"/>
                <w:sz w:val="18"/>
              </w:rPr>
              <w:t xml:space="preserve">or </w:t>
            </w:r>
            <w:r>
              <w:rPr>
                <w:b/>
                <w:bCs/>
                <w:color w:val="003366"/>
                <w:sz w:val="18"/>
              </w:rPr>
              <w:t>a</w:t>
            </w:r>
            <w:r w:rsidRPr="00DE0E05">
              <w:rPr>
                <w:b/>
                <w:bCs/>
                <w:color w:val="003366"/>
                <w:sz w:val="18"/>
              </w:rPr>
              <w:t xml:space="preserve"> Permit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C60E77" w:rsidRPr="00C60E77" w:rsidRDefault="00000CBB" w:rsidP="00000CB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If the </w:t>
            </w:r>
            <w:r w:rsidRPr="00DE0E05">
              <w:rPr>
                <w:bCs/>
                <w:noProof/>
                <w:sz w:val="18"/>
                <w:szCs w:val="18"/>
              </w:rPr>
              <w:t>project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includes </w:t>
            </w:r>
            <w:r w:rsidR="00DE0E05" w:rsidRPr="00DE0E05">
              <w:rPr>
                <w:bCs/>
                <w:noProof/>
                <w:sz w:val="18"/>
                <w:szCs w:val="18"/>
              </w:rPr>
              <w:t>1 acre or more of grou</w:t>
            </w:r>
            <w:r w:rsidR="00DE0E05">
              <w:rPr>
                <w:bCs/>
                <w:noProof/>
                <w:sz w:val="18"/>
                <w:szCs w:val="18"/>
              </w:rPr>
              <w:t>nd disturbance</w:t>
            </w:r>
            <w:r w:rsidR="00DE0E05" w:rsidRPr="00DE0E05">
              <w:rPr>
                <w:bCs/>
                <w:noProof/>
                <w:sz w:val="18"/>
                <w:szCs w:val="18"/>
              </w:rPr>
              <w:t>, a</w:t>
            </w:r>
            <w:r>
              <w:rPr>
                <w:bCs/>
                <w:noProof/>
                <w:sz w:val="18"/>
                <w:szCs w:val="18"/>
              </w:rPr>
              <w:t>n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NPDES (land disturbance) permit </w:t>
            </w:r>
            <w:r>
              <w:rPr>
                <w:bCs/>
                <w:noProof/>
                <w:sz w:val="18"/>
                <w:szCs w:val="18"/>
              </w:rPr>
              <w:t>is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required.  </w:t>
            </w:r>
            <w:r>
              <w:rPr>
                <w:bCs/>
                <w:noProof/>
                <w:sz w:val="18"/>
                <w:szCs w:val="18"/>
              </w:rPr>
              <w:t>Determine whether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there </w:t>
            </w:r>
            <w:r>
              <w:rPr>
                <w:bCs/>
                <w:noProof/>
                <w:sz w:val="18"/>
                <w:szCs w:val="18"/>
              </w:rPr>
              <w:t>are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state or local ordinances that </w:t>
            </w:r>
            <w:r>
              <w:rPr>
                <w:bCs/>
                <w:noProof/>
                <w:sz w:val="18"/>
                <w:szCs w:val="18"/>
              </w:rPr>
              <w:t>must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be addressed.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C60E77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EA0CD4" w:rsidRPr="00101976" w:rsidTr="00E55DF8">
        <w:trPr>
          <w:trHeight w:val="432"/>
        </w:trPr>
        <w:tc>
          <w:tcPr>
            <w:tcW w:w="1764" w:type="dxa"/>
          </w:tcPr>
          <w:p w:rsidR="00EA0CD4" w:rsidRPr="00E95B4E" w:rsidRDefault="00EA0CD4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EA0CD4" w:rsidRPr="00C60E77" w:rsidRDefault="00000CBB" w:rsidP="00000CB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An</w:t>
            </w:r>
            <w:r w:rsidRPr="00DE0E05">
              <w:rPr>
                <w:bCs/>
                <w:noProof/>
                <w:sz w:val="18"/>
                <w:szCs w:val="18"/>
              </w:rPr>
              <w:t xml:space="preserve"> NPDES permit </w:t>
            </w:r>
            <w:r>
              <w:rPr>
                <w:bCs/>
                <w:noProof/>
                <w:sz w:val="18"/>
                <w:szCs w:val="18"/>
              </w:rPr>
              <w:t>is</w:t>
            </w:r>
            <w:r w:rsidRPr="00DE0E05">
              <w:rPr>
                <w:bCs/>
                <w:noProof/>
                <w:sz w:val="18"/>
                <w:szCs w:val="18"/>
              </w:rPr>
              <w:t xml:space="preserve"> not required </w:t>
            </w:r>
            <w:r>
              <w:rPr>
                <w:bCs/>
                <w:noProof/>
                <w:sz w:val="18"/>
                <w:szCs w:val="18"/>
              </w:rPr>
              <w:t>i</w:t>
            </w:r>
            <w:r w:rsidR="00DE0E05" w:rsidRPr="00DE0E05">
              <w:rPr>
                <w:bCs/>
                <w:noProof/>
                <w:sz w:val="18"/>
                <w:szCs w:val="18"/>
              </w:rPr>
              <w:t>f there is less than 1 acre of disturbance. Any state or local ordinances concerning stormwater issues should be addressed.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EA0CD4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CBB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EA0CD4" w:rsidRPr="00101976" w:rsidTr="00E55DF8">
        <w:trPr>
          <w:trHeight w:val="432"/>
        </w:trPr>
        <w:tc>
          <w:tcPr>
            <w:tcW w:w="1764" w:type="dxa"/>
          </w:tcPr>
          <w:p w:rsidR="00EA0CD4" w:rsidRPr="00E95B4E" w:rsidRDefault="00EA0CD4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EA0CD4" w:rsidRPr="00D82C87" w:rsidRDefault="00DE0E05" w:rsidP="00000CB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D82C87">
              <w:rPr>
                <w:bCs/>
                <w:noProof/>
                <w:sz w:val="18"/>
                <w:szCs w:val="18"/>
              </w:rPr>
              <w:t xml:space="preserve">Determine </w:t>
            </w:r>
            <w:r w:rsidR="00000CBB" w:rsidRPr="00D82C87">
              <w:rPr>
                <w:bCs/>
                <w:noProof/>
                <w:sz w:val="18"/>
                <w:szCs w:val="18"/>
              </w:rPr>
              <w:t>whether</w:t>
            </w:r>
            <w:r w:rsidRPr="00D82C87">
              <w:rPr>
                <w:bCs/>
                <w:noProof/>
                <w:sz w:val="18"/>
                <w:szCs w:val="18"/>
              </w:rPr>
              <w:t xml:space="preserve"> the city or county where the project is located has </w:t>
            </w:r>
            <w:r w:rsidR="00000CBB" w:rsidRPr="00D82C87">
              <w:rPr>
                <w:bCs/>
                <w:noProof/>
                <w:sz w:val="18"/>
                <w:szCs w:val="18"/>
              </w:rPr>
              <w:t>its</w:t>
            </w:r>
            <w:r w:rsidRPr="00D82C87">
              <w:rPr>
                <w:bCs/>
                <w:noProof/>
                <w:sz w:val="18"/>
                <w:szCs w:val="18"/>
              </w:rPr>
              <w:t xml:space="preserve"> own NPDES permit.  If so, the LPA must comply with the requirements of the local NPDES generic land disturbance permit</w:t>
            </w:r>
            <w:r w:rsidR="00A02C68">
              <w:rPr>
                <w:bCs/>
                <w:noProof/>
                <w:sz w:val="18"/>
                <w:szCs w:val="18"/>
              </w:rPr>
              <w:t xml:space="preserve"> or MS4 permit</w:t>
            </w:r>
            <w:r w:rsidRPr="00D82C87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EA0CD4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F91F36" w:rsidRPr="00101976" w:rsidTr="00F91F36">
        <w:trPr>
          <w:trHeight w:val="432"/>
        </w:trPr>
        <w:tc>
          <w:tcPr>
            <w:tcW w:w="1764" w:type="dxa"/>
            <w:vMerge w:val="restart"/>
            <w:vAlign w:val="center"/>
          </w:tcPr>
          <w:p w:rsidR="00F91F36" w:rsidRPr="00E95B4E" w:rsidRDefault="00F91F36" w:rsidP="00F91F36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DE0E05">
              <w:rPr>
                <w:b/>
                <w:bCs/>
                <w:color w:val="003366"/>
                <w:sz w:val="18"/>
              </w:rPr>
              <w:t>Obtain Permit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F91F36" w:rsidRPr="00C60E77" w:rsidRDefault="00F91F36" w:rsidP="00C60E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DE0E05">
              <w:rPr>
                <w:bCs/>
                <w:noProof/>
                <w:sz w:val="18"/>
                <w:szCs w:val="18"/>
              </w:rPr>
              <w:t>If the project disturbs more than 1 acre and there is not already a</w:t>
            </w:r>
            <w:r>
              <w:rPr>
                <w:bCs/>
                <w:noProof/>
                <w:sz w:val="18"/>
                <w:szCs w:val="18"/>
              </w:rPr>
              <w:t>n</w:t>
            </w:r>
            <w:r w:rsidRPr="00DE0E05">
              <w:rPr>
                <w:bCs/>
                <w:noProof/>
                <w:sz w:val="18"/>
                <w:szCs w:val="18"/>
              </w:rPr>
              <w:t xml:space="preserve"> NPDES permit in place, contact DNR to obtain a permit for the project.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F91F36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F36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F91F36" w:rsidRPr="00101976" w:rsidTr="00E55DF8">
        <w:trPr>
          <w:trHeight w:val="432"/>
        </w:trPr>
        <w:tc>
          <w:tcPr>
            <w:tcW w:w="1764" w:type="dxa"/>
            <w:vMerge/>
          </w:tcPr>
          <w:p w:rsidR="00F91F36" w:rsidRPr="00E95B4E" w:rsidRDefault="00F91F36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F91F36" w:rsidRPr="00C60E77" w:rsidRDefault="00F91F36" w:rsidP="00C60E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DE0E05">
              <w:rPr>
                <w:bCs/>
                <w:noProof/>
                <w:sz w:val="18"/>
                <w:szCs w:val="18"/>
              </w:rPr>
              <w:t>Develop a site-specific stormwater pollution prevention plan for the project.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F91F36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F36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E0E05" w:rsidRPr="00D556B1" w:rsidTr="00DE0E05">
        <w:tc>
          <w:tcPr>
            <w:tcW w:w="11004" w:type="dxa"/>
            <w:gridSpan w:val="3"/>
            <w:shd w:val="clear" w:color="auto" w:fill="D9D9D9"/>
            <w:vAlign w:val="center"/>
          </w:tcPr>
          <w:p w:rsidR="00DE0E05" w:rsidRPr="00D556B1" w:rsidRDefault="00D0306B" w:rsidP="00D0306B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9" w:anchor="136.6.4.9_Borrow_Sites_and_Other_Land_Disturbance_Activities_Outside_Right_of_Way" w:history="1">
              <w:r w:rsidR="00DE0E05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Borrow, Staging, and Haul Roads</w:t>
              </w:r>
            </w:hyperlink>
            <w:r w:rsidR="00DE0E05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2C119F" w:rsidRPr="00101976" w:rsidTr="002C119F">
        <w:trPr>
          <w:trHeight w:val="432"/>
        </w:trPr>
        <w:tc>
          <w:tcPr>
            <w:tcW w:w="1764" w:type="dxa"/>
            <w:vMerge w:val="restart"/>
            <w:vAlign w:val="center"/>
          </w:tcPr>
          <w:p w:rsidR="002C119F" w:rsidRPr="00E95B4E" w:rsidRDefault="002C119F" w:rsidP="002C119F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DE0E05">
              <w:rPr>
                <w:b/>
                <w:bCs/>
                <w:color w:val="003366"/>
                <w:sz w:val="18"/>
              </w:rPr>
              <w:t>Environmental and</w:t>
            </w:r>
            <w:r>
              <w:rPr>
                <w:b/>
                <w:bCs/>
                <w:color w:val="003366"/>
                <w:sz w:val="18"/>
              </w:rPr>
              <w:t xml:space="preserve"> Historic Preservation Clearance</w:t>
            </w:r>
          </w:p>
        </w:tc>
        <w:tc>
          <w:tcPr>
            <w:tcW w:w="9240" w:type="dxa"/>
            <w:gridSpan w:val="2"/>
            <w:shd w:val="clear" w:color="auto" w:fill="FFFFFF"/>
            <w:vAlign w:val="center"/>
          </w:tcPr>
          <w:p w:rsidR="002C119F" w:rsidRPr="007E4F76" w:rsidRDefault="002C119F" w:rsidP="002C119F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 w:rsidRPr="002C119F">
              <w:rPr>
                <w:bCs/>
                <w:noProof/>
                <w:sz w:val="18"/>
                <w:szCs w:val="18"/>
              </w:rPr>
              <w:t>The LPA is responsible for ensuring that any disturbed areas either inside or outside of project boundary limits are cleared of all environmental and historic preservation issues.</w:t>
            </w:r>
          </w:p>
        </w:tc>
      </w:tr>
      <w:tr w:rsidR="002C119F" w:rsidRPr="00101976" w:rsidTr="00E55DF8">
        <w:trPr>
          <w:trHeight w:val="432"/>
        </w:trPr>
        <w:tc>
          <w:tcPr>
            <w:tcW w:w="1764" w:type="dxa"/>
            <w:vMerge/>
          </w:tcPr>
          <w:p w:rsidR="002C119F" w:rsidRPr="00E95B4E" w:rsidRDefault="002C119F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2C119F" w:rsidRPr="00C60E77" w:rsidRDefault="002C119F" w:rsidP="00C60E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DE0E05">
              <w:rPr>
                <w:bCs/>
                <w:noProof/>
                <w:sz w:val="18"/>
                <w:szCs w:val="18"/>
              </w:rPr>
              <w:t>Contact all appropriate regulatory resource agencies to determine permit and clearance requirements and obtain all necessary documents.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C119F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19F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C119F" w:rsidRPr="00101976" w:rsidTr="00DE0E05">
        <w:trPr>
          <w:trHeight w:val="432"/>
        </w:trPr>
        <w:tc>
          <w:tcPr>
            <w:tcW w:w="1764" w:type="dxa"/>
            <w:vMerge/>
          </w:tcPr>
          <w:p w:rsidR="002C119F" w:rsidRDefault="002C119F" w:rsidP="008837B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2C119F" w:rsidRDefault="002C119F" w:rsidP="002C119F">
            <w:pPr>
              <w:spacing w:before="60" w:after="60"/>
              <w:rPr>
                <w:sz w:val="18"/>
              </w:rPr>
            </w:pPr>
            <w:r w:rsidRPr="002C119F">
              <w:rPr>
                <w:bCs/>
                <w:noProof/>
                <w:sz w:val="18"/>
                <w:szCs w:val="18"/>
              </w:rPr>
              <w:t>Provide written certification that includes all permits and clearance letters as well as evidence of resource agency coordination to the MoDOT district contact.</w:t>
            </w:r>
          </w:p>
        </w:tc>
        <w:tc>
          <w:tcPr>
            <w:tcW w:w="840" w:type="dxa"/>
            <w:vAlign w:val="center"/>
          </w:tcPr>
          <w:p w:rsidR="002C119F" w:rsidRPr="001B4BFF" w:rsidRDefault="00717DA2" w:rsidP="008837B9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19F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E0E05" w:rsidRPr="00D556B1" w:rsidTr="00DE0E05">
        <w:tc>
          <w:tcPr>
            <w:tcW w:w="11004" w:type="dxa"/>
            <w:gridSpan w:val="3"/>
            <w:shd w:val="clear" w:color="auto" w:fill="D9D9D9"/>
            <w:vAlign w:val="center"/>
          </w:tcPr>
          <w:p w:rsidR="00DE0E05" w:rsidRPr="00D556B1" w:rsidRDefault="00D0306B" w:rsidP="00D0306B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20" w:anchor="136.6.4.10_Hazardous_Waste" w:history="1">
              <w:r w:rsidR="00DE0E05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Hazardous Waste</w:t>
              </w:r>
            </w:hyperlink>
          </w:p>
        </w:tc>
      </w:tr>
      <w:tr w:rsidR="000E368A" w:rsidRPr="00101976" w:rsidTr="002C119F">
        <w:trPr>
          <w:trHeight w:val="432"/>
        </w:trPr>
        <w:tc>
          <w:tcPr>
            <w:tcW w:w="1764" w:type="dxa"/>
            <w:vAlign w:val="center"/>
          </w:tcPr>
          <w:p w:rsidR="000E368A" w:rsidRDefault="00154496" w:rsidP="002C119F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154496">
              <w:rPr>
                <w:b/>
                <w:color w:val="003366"/>
                <w:sz w:val="18"/>
              </w:rPr>
              <w:t>Identification</w:t>
            </w:r>
          </w:p>
        </w:tc>
        <w:tc>
          <w:tcPr>
            <w:tcW w:w="8400" w:type="dxa"/>
            <w:vAlign w:val="center"/>
          </w:tcPr>
          <w:p w:rsidR="000E368A" w:rsidRDefault="00154496" w:rsidP="009B6688">
            <w:pPr>
              <w:spacing w:after="60"/>
              <w:rPr>
                <w:sz w:val="18"/>
              </w:rPr>
            </w:pPr>
            <w:r w:rsidRPr="00154496">
              <w:rPr>
                <w:sz w:val="18"/>
              </w:rPr>
              <w:t>Evaluate proposed corridors for hazardous and solid waste sites</w:t>
            </w:r>
            <w:r w:rsidR="009B6688">
              <w:rPr>
                <w:sz w:val="18"/>
              </w:rPr>
              <w:t>, asbestos and lead based paint</w:t>
            </w:r>
            <w:r w:rsidRPr="00154496">
              <w:rPr>
                <w:sz w:val="18"/>
              </w:rPr>
              <w:t>.</w:t>
            </w:r>
          </w:p>
        </w:tc>
        <w:tc>
          <w:tcPr>
            <w:tcW w:w="840" w:type="dxa"/>
            <w:vAlign w:val="center"/>
          </w:tcPr>
          <w:p w:rsidR="000E368A" w:rsidRPr="001B4BFF" w:rsidRDefault="00717DA2" w:rsidP="008837B9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68A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C119F" w:rsidRPr="00101976" w:rsidTr="002C119F">
        <w:trPr>
          <w:trHeight w:val="432"/>
        </w:trPr>
        <w:tc>
          <w:tcPr>
            <w:tcW w:w="1764" w:type="dxa"/>
            <w:vMerge w:val="restart"/>
            <w:vAlign w:val="center"/>
          </w:tcPr>
          <w:p w:rsidR="002C119F" w:rsidRDefault="002C119F" w:rsidP="002C119F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154496">
              <w:rPr>
                <w:b/>
                <w:color w:val="003366"/>
                <w:sz w:val="18"/>
              </w:rPr>
              <w:t>Coordination</w:t>
            </w:r>
          </w:p>
        </w:tc>
        <w:tc>
          <w:tcPr>
            <w:tcW w:w="8400" w:type="dxa"/>
          </w:tcPr>
          <w:p w:rsidR="002C119F" w:rsidRPr="009700DC" w:rsidRDefault="002C119F" w:rsidP="002C119F">
            <w:pPr>
              <w:spacing w:before="60" w:after="60"/>
              <w:rPr>
                <w:sz w:val="18"/>
                <w:szCs w:val="18"/>
              </w:rPr>
            </w:pPr>
            <w:r w:rsidRPr="002C119F">
              <w:rPr>
                <w:rFonts w:cs="Arial"/>
                <w:sz w:val="18"/>
                <w:szCs w:val="18"/>
              </w:rPr>
              <w:t>If potential hazardous and/or solid waste sites are discovered, coordinate with EPA and DNR to help determine liability, regulatory requirements, and potential cleanup costs.</w:t>
            </w:r>
          </w:p>
        </w:tc>
        <w:tc>
          <w:tcPr>
            <w:tcW w:w="840" w:type="dxa"/>
            <w:vAlign w:val="center"/>
          </w:tcPr>
          <w:p w:rsidR="002C119F" w:rsidRPr="001B4BFF" w:rsidRDefault="00717DA2" w:rsidP="008837B9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19F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9B6688" w:rsidRPr="00101976" w:rsidTr="002C119F">
        <w:trPr>
          <w:trHeight w:val="432"/>
        </w:trPr>
        <w:tc>
          <w:tcPr>
            <w:tcW w:w="1764" w:type="dxa"/>
            <w:vMerge/>
            <w:vAlign w:val="center"/>
          </w:tcPr>
          <w:p w:rsidR="009B6688" w:rsidRPr="00154496" w:rsidRDefault="009B6688" w:rsidP="002C119F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:rsidR="009B6688" w:rsidRPr="002C119F" w:rsidRDefault="009B6688" w:rsidP="002C119F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Demolition notification to MDNR shall be made to DNR no fewer than 10 working days prior to beginning the project.</w:t>
            </w:r>
          </w:p>
        </w:tc>
        <w:tc>
          <w:tcPr>
            <w:tcW w:w="840" w:type="dxa"/>
            <w:vAlign w:val="center"/>
          </w:tcPr>
          <w:p w:rsidR="009B6688" w:rsidRPr="007E4F76" w:rsidRDefault="009B6688" w:rsidP="008837B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</w:tr>
      <w:tr w:rsidR="002C119F" w:rsidRPr="00101976" w:rsidTr="002C119F">
        <w:trPr>
          <w:trHeight w:val="432"/>
        </w:trPr>
        <w:tc>
          <w:tcPr>
            <w:tcW w:w="1764" w:type="dxa"/>
            <w:vMerge/>
          </w:tcPr>
          <w:p w:rsidR="002C119F" w:rsidRPr="00154496" w:rsidRDefault="002C119F" w:rsidP="008837B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2C119F" w:rsidRPr="00154496" w:rsidRDefault="002C119F" w:rsidP="002C119F">
            <w:pPr>
              <w:spacing w:before="60" w:after="60"/>
              <w:rPr>
                <w:sz w:val="18"/>
                <w:szCs w:val="18"/>
              </w:rPr>
            </w:pPr>
            <w:r w:rsidRPr="00154496">
              <w:rPr>
                <w:rFonts w:cs="Arial"/>
                <w:sz w:val="18"/>
                <w:szCs w:val="18"/>
              </w:rPr>
              <w:t xml:space="preserve">Provide evidence </w:t>
            </w:r>
            <w:r>
              <w:rPr>
                <w:rFonts w:cs="Arial"/>
                <w:sz w:val="18"/>
                <w:szCs w:val="18"/>
              </w:rPr>
              <w:t xml:space="preserve">of </w:t>
            </w:r>
            <w:r w:rsidRPr="00154496">
              <w:rPr>
                <w:rFonts w:cs="Arial"/>
                <w:sz w:val="18"/>
                <w:szCs w:val="18"/>
              </w:rPr>
              <w:t xml:space="preserve">any regulatory agency correspondence to the MoDOT </w:t>
            </w:r>
            <w:r>
              <w:rPr>
                <w:rFonts w:cs="Arial"/>
                <w:sz w:val="18"/>
                <w:szCs w:val="18"/>
              </w:rPr>
              <w:t>d</w:t>
            </w:r>
            <w:r w:rsidRPr="00154496">
              <w:rPr>
                <w:rFonts w:cs="Arial"/>
                <w:sz w:val="18"/>
                <w:szCs w:val="18"/>
              </w:rPr>
              <w:t xml:space="preserve">istrict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54496">
              <w:rPr>
                <w:rFonts w:cs="Arial"/>
                <w:sz w:val="18"/>
                <w:szCs w:val="18"/>
              </w:rPr>
              <w:t>ontact.</w:t>
            </w:r>
          </w:p>
        </w:tc>
        <w:tc>
          <w:tcPr>
            <w:tcW w:w="840" w:type="dxa"/>
            <w:vAlign w:val="center"/>
          </w:tcPr>
          <w:p w:rsidR="002C119F" w:rsidRPr="007E4F76" w:rsidRDefault="00717DA2" w:rsidP="008837B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19F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E0E05" w:rsidRPr="00D556B1" w:rsidTr="00DE0E05">
        <w:tc>
          <w:tcPr>
            <w:tcW w:w="11004" w:type="dxa"/>
            <w:gridSpan w:val="3"/>
            <w:shd w:val="clear" w:color="auto" w:fill="D9D9D9"/>
            <w:vAlign w:val="center"/>
          </w:tcPr>
          <w:p w:rsidR="00DE0E05" w:rsidRPr="00D556B1" w:rsidRDefault="00D0306B" w:rsidP="00D0306B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21" w:anchor="136.6.4.11_Farmland_Protection_Policy_Act" w:history="1">
              <w:r w:rsidR="00DE0E05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FaRMLaNd</w:t>
              </w:r>
            </w:hyperlink>
            <w:r w:rsidR="00DE0E05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DE0E05" w:rsidRPr="00101976" w:rsidTr="004859AE">
        <w:trPr>
          <w:trHeight w:val="432"/>
        </w:trPr>
        <w:tc>
          <w:tcPr>
            <w:tcW w:w="1764" w:type="dxa"/>
            <w:vAlign w:val="center"/>
          </w:tcPr>
          <w:p w:rsidR="00DE0E05" w:rsidRDefault="009D30A0" w:rsidP="004859AE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Determination</w:t>
            </w:r>
          </w:p>
        </w:tc>
        <w:tc>
          <w:tcPr>
            <w:tcW w:w="8400" w:type="dxa"/>
            <w:vAlign w:val="center"/>
          </w:tcPr>
          <w:p w:rsidR="00DE0E05" w:rsidRPr="002C119F" w:rsidRDefault="009D30A0" w:rsidP="002C119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19F">
              <w:rPr>
                <w:rFonts w:cs="Arial"/>
                <w:sz w:val="18"/>
                <w:szCs w:val="18"/>
              </w:rPr>
              <w:t xml:space="preserve">Determine </w:t>
            </w:r>
            <w:r w:rsidR="002C119F">
              <w:rPr>
                <w:rFonts w:cs="Arial"/>
                <w:sz w:val="18"/>
                <w:szCs w:val="18"/>
              </w:rPr>
              <w:t>whether</w:t>
            </w:r>
            <w:r w:rsidRPr="002C119F">
              <w:rPr>
                <w:rFonts w:cs="Arial"/>
                <w:sz w:val="18"/>
                <w:szCs w:val="18"/>
              </w:rPr>
              <w:t xml:space="preserve"> the project will convert any farmland to non-farming use.</w:t>
            </w:r>
          </w:p>
        </w:tc>
        <w:tc>
          <w:tcPr>
            <w:tcW w:w="840" w:type="dxa"/>
            <w:vAlign w:val="center"/>
          </w:tcPr>
          <w:p w:rsidR="00DE0E05" w:rsidRPr="001B4BFF" w:rsidRDefault="00717DA2" w:rsidP="00DE0E05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E0E05" w:rsidRPr="00101976" w:rsidTr="004859AE">
        <w:trPr>
          <w:trHeight w:val="432"/>
        </w:trPr>
        <w:tc>
          <w:tcPr>
            <w:tcW w:w="1764" w:type="dxa"/>
            <w:vAlign w:val="center"/>
          </w:tcPr>
          <w:p w:rsidR="00DE0E05" w:rsidRDefault="009D30A0" w:rsidP="004859AE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Agency Coordination</w:t>
            </w:r>
          </w:p>
        </w:tc>
        <w:tc>
          <w:tcPr>
            <w:tcW w:w="8400" w:type="dxa"/>
          </w:tcPr>
          <w:p w:rsidR="00DE0E05" w:rsidRPr="002C119F" w:rsidRDefault="009D30A0" w:rsidP="002C119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19F">
              <w:rPr>
                <w:rFonts w:cs="Arial"/>
                <w:sz w:val="18"/>
                <w:szCs w:val="18"/>
              </w:rPr>
              <w:t>If the project impacts farmland, coordinate with NRCS to complete Form AD-1006 Farmland Conversion Impact Rating or Form SCS-CPA-106 for corridor type projects.</w:t>
            </w:r>
          </w:p>
        </w:tc>
        <w:tc>
          <w:tcPr>
            <w:tcW w:w="840" w:type="dxa"/>
            <w:vAlign w:val="center"/>
          </w:tcPr>
          <w:p w:rsidR="00DE0E05" w:rsidRPr="001B4BFF" w:rsidRDefault="00717DA2" w:rsidP="00DE0E05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9D30A0" w:rsidRPr="00D556B1" w:rsidTr="00000CBB">
        <w:tc>
          <w:tcPr>
            <w:tcW w:w="11004" w:type="dxa"/>
            <w:gridSpan w:val="3"/>
            <w:shd w:val="clear" w:color="auto" w:fill="D9D9D9"/>
            <w:vAlign w:val="center"/>
          </w:tcPr>
          <w:p w:rsidR="009D30A0" w:rsidRPr="00D556B1" w:rsidRDefault="00D0306B" w:rsidP="00D0306B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22" w:anchor="136.6.4.12_Community_Impact_Assessment_.28Social.2FEconomic.2FEnvironmental_Justice.29" w:history="1">
              <w:r w:rsidR="009D30A0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Community Impacts</w:t>
              </w:r>
            </w:hyperlink>
            <w:r w:rsidR="009D30A0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1B10D7" w:rsidRPr="00101976" w:rsidTr="001B10D7">
        <w:trPr>
          <w:trHeight w:val="432"/>
        </w:trPr>
        <w:tc>
          <w:tcPr>
            <w:tcW w:w="1764" w:type="dxa"/>
            <w:vMerge w:val="restart"/>
            <w:vAlign w:val="center"/>
          </w:tcPr>
          <w:p w:rsidR="001B10D7" w:rsidRPr="001B4BFF" w:rsidRDefault="001B10D7" w:rsidP="001B10D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Compliance</w:t>
            </w:r>
          </w:p>
        </w:tc>
        <w:tc>
          <w:tcPr>
            <w:tcW w:w="8400" w:type="dxa"/>
            <w:vAlign w:val="center"/>
          </w:tcPr>
          <w:p w:rsidR="001B10D7" w:rsidRPr="002C119F" w:rsidRDefault="001B10D7" w:rsidP="002C119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D30A0">
              <w:rPr>
                <w:rFonts w:cs="Arial"/>
                <w:sz w:val="18"/>
                <w:szCs w:val="18"/>
              </w:rPr>
              <w:t>Comply with all requirements of Title VI of the Civil Rights Act of 1964 and Executive Order 12898 on Environmental Justice.</w:t>
            </w:r>
          </w:p>
        </w:tc>
        <w:tc>
          <w:tcPr>
            <w:tcW w:w="840" w:type="dxa"/>
            <w:vAlign w:val="center"/>
          </w:tcPr>
          <w:p w:rsidR="001B10D7" w:rsidRPr="007E4F76" w:rsidRDefault="00717DA2" w:rsidP="00DE0E05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0D7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B10D7" w:rsidRPr="00101976" w:rsidTr="00DE0E05">
        <w:trPr>
          <w:trHeight w:val="432"/>
        </w:trPr>
        <w:tc>
          <w:tcPr>
            <w:tcW w:w="1764" w:type="dxa"/>
            <w:vMerge/>
          </w:tcPr>
          <w:p w:rsidR="001B10D7" w:rsidRPr="001B4BFF" w:rsidRDefault="001B10D7" w:rsidP="00DE0E05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1B10D7" w:rsidRPr="002C119F" w:rsidRDefault="001B10D7" w:rsidP="0027414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19F">
              <w:rPr>
                <w:rFonts w:cs="Arial"/>
                <w:sz w:val="18"/>
                <w:szCs w:val="18"/>
              </w:rPr>
              <w:t xml:space="preserve">If a NEPA document is required, </w:t>
            </w:r>
            <w:r w:rsidR="00274142">
              <w:rPr>
                <w:rFonts w:cs="Arial"/>
                <w:sz w:val="18"/>
                <w:szCs w:val="18"/>
              </w:rPr>
              <w:t>it must include</w:t>
            </w:r>
            <w:r w:rsidRPr="002C119F">
              <w:rPr>
                <w:rFonts w:cs="Arial"/>
                <w:sz w:val="18"/>
                <w:szCs w:val="18"/>
              </w:rPr>
              <w:t xml:space="preserve"> a description of any impacts to minorities, low-income populations, and the community in general as well as evidence of compliance with all applicable social, economic, and environmental justice laws.</w:t>
            </w:r>
          </w:p>
        </w:tc>
        <w:tc>
          <w:tcPr>
            <w:tcW w:w="840" w:type="dxa"/>
            <w:vAlign w:val="center"/>
          </w:tcPr>
          <w:p w:rsidR="001B10D7" w:rsidRPr="001B4BFF" w:rsidRDefault="00717DA2" w:rsidP="00DE0E05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0D7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9D30A0" w:rsidRPr="00D556B1" w:rsidTr="00000CBB">
        <w:tc>
          <w:tcPr>
            <w:tcW w:w="11004" w:type="dxa"/>
            <w:gridSpan w:val="3"/>
            <w:shd w:val="clear" w:color="auto" w:fill="D9D9D9"/>
            <w:vAlign w:val="center"/>
          </w:tcPr>
          <w:p w:rsidR="009D30A0" w:rsidRPr="00D556B1" w:rsidRDefault="00D0306B" w:rsidP="00B36E3D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23" w:anchor="136.6.4.13_Noise_Standards_and_Noise_Abatement" w:history="1">
              <w:r w:rsidR="009D30A0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nOisE</w:t>
              </w:r>
            </w:hyperlink>
            <w:r w:rsidR="009D30A0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DE0E05" w:rsidRPr="00101976" w:rsidTr="00274142">
        <w:trPr>
          <w:trHeight w:val="432"/>
        </w:trPr>
        <w:tc>
          <w:tcPr>
            <w:tcW w:w="1764" w:type="dxa"/>
            <w:vMerge w:val="restart"/>
            <w:vAlign w:val="center"/>
          </w:tcPr>
          <w:p w:rsidR="00DE0E05" w:rsidRPr="001B4BFF" w:rsidRDefault="009D30A0" w:rsidP="004859AE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Determination</w:t>
            </w:r>
          </w:p>
        </w:tc>
        <w:tc>
          <w:tcPr>
            <w:tcW w:w="8400" w:type="dxa"/>
            <w:vAlign w:val="center"/>
          </w:tcPr>
          <w:p w:rsidR="00DE0E05" w:rsidRPr="001B4BFF" w:rsidRDefault="009D30A0" w:rsidP="00274142">
            <w:pPr>
              <w:spacing w:before="60" w:after="60"/>
              <w:rPr>
                <w:sz w:val="18"/>
              </w:rPr>
            </w:pPr>
            <w:r w:rsidRPr="002C119F">
              <w:rPr>
                <w:rFonts w:cs="Arial"/>
                <w:sz w:val="18"/>
                <w:szCs w:val="18"/>
              </w:rPr>
              <w:t xml:space="preserve">Determine </w:t>
            </w:r>
            <w:r w:rsidR="004859AE">
              <w:rPr>
                <w:rFonts w:cs="Arial"/>
                <w:sz w:val="18"/>
                <w:szCs w:val="18"/>
              </w:rPr>
              <w:t>whether</w:t>
            </w:r>
            <w:r w:rsidRPr="002C119F">
              <w:rPr>
                <w:rFonts w:cs="Arial"/>
                <w:sz w:val="18"/>
                <w:szCs w:val="18"/>
              </w:rPr>
              <w:t xml:space="preserve"> a noise analysis is ne</w:t>
            </w:r>
            <w:r w:rsidR="00274142">
              <w:rPr>
                <w:rFonts w:cs="Arial"/>
                <w:sz w:val="18"/>
                <w:szCs w:val="18"/>
              </w:rPr>
              <w:t>eded</w:t>
            </w:r>
            <w:r w:rsidRPr="002C119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vAlign w:val="center"/>
          </w:tcPr>
          <w:p w:rsidR="00DE0E05" w:rsidRPr="001B4BFF" w:rsidRDefault="00717DA2" w:rsidP="00DE0E05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74142" w:rsidRPr="00101976" w:rsidTr="00274142">
        <w:trPr>
          <w:trHeight w:val="432"/>
        </w:trPr>
        <w:tc>
          <w:tcPr>
            <w:tcW w:w="1764" w:type="dxa"/>
            <w:vMerge/>
          </w:tcPr>
          <w:p w:rsidR="00274142" w:rsidRPr="001B4BFF" w:rsidRDefault="00274142" w:rsidP="00DE0E05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274142" w:rsidRPr="001B4BFF" w:rsidRDefault="00274142" w:rsidP="00274142">
            <w:pPr>
              <w:spacing w:before="60" w:after="60"/>
              <w:rPr>
                <w:sz w:val="18"/>
              </w:rPr>
            </w:pPr>
            <w:r w:rsidRPr="009D30A0">
              <w:rPr>
                <w:sz w:val="18"/>
              </w:rPr>
              <w:t xml:space="preserve">If necessary, conduct noise analysis and determine </w:t>
            </w:r>
            <w:r>
              <w:rPr>
                <w:sz w:val="18"/>
              </w:rPr>
              <w:t>whether</w:t>
            </w:r>
            <w:r w:rsidRPr="009D30A0">
              <w:rPr>
                <w:sz w:val="18"/>
              </w:rPr>
              <w:t xml:space="preserve"> noise abatement measures are applicable.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74142" w:rsidRPr="001B4BFF" w:rsidRDefault="00717DA2" w:rsidP="00274142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142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9D30A0" w:rsidRPr="00D556B1" w:rsidTr="00000CBB">
        <w:tc>
          <w:tcPr>
            <w:tcW w:w="11004" w:type="dxa"/>
            <w:gridSpan w:val="3"/>
            <w:shd w:val="clear" w:color="auto" w:fill="D9D9D9"/>
            <w:vAlign w:val="center"/>
          </w:tcPr>
          <w:p w:rsidR="009D30A0" w:rsidRPr="00D556B1" w:rsidRDefault="00D0306B" w:rsidP="00D0306B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24" w:anchor="136.6.4.14_Air_Quality_Requirements" w:history="1">
              <w:r w:rsidR="009D30A0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AiR</w:t>
              </w:r>
            </w:hyperlink>
            <w:r w:rsidR="009D30A0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134E0A" w:rsidRPr="00101976" w:rsidTr="00AF4D77">
        <w:trPr>
          <w:trHeight w:val="432"/>
        </w:trPr>
        <w:tc>
          <w:tcPr>
            <w:tcW w:w="1764" w:type="dxa"/>
            <w:vMerge w:val="restart"/>
            <w:vAlign w:val="center"/>
          </w:tcPr>
          <w:p w:rsidR="00134E0A" w:rsidRPr="001B4BFF" w:rsidRDefault="00134E0A" w:rsidP="00134E0A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Determination</w:t>
            </w:r>
          </w:p>
        </w:tc>
        <w:tc>
          <w:tcPr>
            <w:tcW w:w="8400" w:type="dxa"/>
            <w:shd w:val="clear" w:color="auto" w:fill="F2F2F2"/>
            <w:vAlign w:val="center"/>
          </w:tcPr>
          <w:p w:rsidR="00134E0A" w:rsidRPr="001B4BFF" w:rsidRDefault="00134E0A" w:rsidP="00E2206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If the project is located in an area without a Metropolitan Planning Organization (MPO), </w:t>
            </w:r>
            <w:r w:rsidRPr="00E22064">
              <w:rPr>
                <w:sz w:val="18"/>
              </w:rPr>
              <w:t>no further action is needed.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34E0A" w:rsidRPr="001B4BFF" w:rsidRDefault="00717DA2" w:rsidP="00AF4D77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E0A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34E0A" w:rsidRPr="00101976" w:rsidTr="00274142">
        <w:trPr>
          <w:trHeight w:val="432"/>
        </w:trPr>
        <w:tc>
          <w:tcPr>
            <w:tcW w:w="1764" w:type="dxa"/>
            <w:vMerge/>
          </w:tcPr>
          <w:p w:rsidR="00134E0A" w:rsidRPr="009D30A0" w:rsidRDefault="00134E0A" w:rsidP="00274142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FFFFF"/>
            <w:vAlign w:val="center"/>
          </w:tcPr>
          <w:p w:rsidR="00134E0A" w:rsidRPr="00797B64" w:rsidRDefault="00134E0A" w:rsidP="00E22064">
            <w:pPr>
              <w:spacing w:before="60" w:after="60"/>
              <w:rPr>
                <w:sz w:val="18"/>
                <w:u w:val="single"/>
              </w:rPr>
            </w:pPr>
            <w:r w:rsidRPr="00797B64">
              <w:rPr>
                <w:sz w:val="18"/>
                <w:u w:val="single"/>
              </w:rPr>
              <w:t>or</w:t>
            </w:r>
          </w:p>
        </w:tc>
      </w:tr>
      <w:tr w:rsidR="00134E0A" w:rsidRPr="00101976" w:rsidTr="00134E0A">
        <w:trPr>
          <w:trHeight w:val="432"/>
        </w:trPr>
        <w:tc>
          <w:tcPr>
            <w:tcW w:w="1764" w:type="dxa"/>
            <w:vMerge/>
            <w:vAlign w:val="center"/>
          </w:tcPr>
          <w:p w:rsidR="00134E0A" w:rsidRDefault="00134E0A" w:rsidP="004859AE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shd w:val="clear" w:color="auto" w:fill="F2F2F2"/>
          </w:tcPr>
          <w:p w:rsidR="00134E0A" w:rsidRPr="009700DC" w:rsidRDefault="00134E0A" w:rsidP="00E2206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</w:rPr>
              <w:t>If project is located in an area with a Metropolitan Planning Organization (MPO), d</w:t>
            </w:r>
            <w:r w:rsidRPr="002C119F">
              <w:rPr>
                <w:rFonts w:cs="Arial"/>
                <w:sz w:val="18"/>
                <w:szCs w:val="18"/>
              </w:rPr>
              <w:t xml:space="preserve">etermine </w:t>
            </w:r>
            <w:r>
              <w:rPr>
                <w:rFonts w:cs="Arial"/>
                <w:sz w:val="18"/>
                <w:szCs w:val="18"/>
              </w:rPr>
              <w:t>whether</w:t>
            </w:r>
            <w:r w:rsidRPr="002C119F">
              <w:rPr>
                <w:rFonts w:cs="Arial"/>
                <w:sz w:val="18"/>
                <w:szCs w:val="18"/>
              </w:rPr>
              <w:t xml:space="preserve"> the project is “regionally significant.” 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vAlign w:val="center"/>
          </w:tcPr>
          <w:p w:rsidR="00134E0A" w:rsidRPr="001B4BFF" w:rsidRDefault="00717DA2" w:rsidP="00DE0E05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E0A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34E0A" w:rsidRPr="00101976" w:rsidTr="00134E0A">
        <w:trPr>
          <w:trHeight w:val="432"/>
        </w:trPr>
        <w:tc>
          <w:tcPr>
            <w:tcW w:w="1764" w:type="dxa"/>
            <w:vMerge/>
          </w:tcPr>
          <w:p w:rsidR="00134E0A" w:rsidRPr="001B4BFF" w:rsidRDefault="00134E0A" w:rsidP="00E22064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auto"/>
            <w:vAlign w:val="center"/>
          </w:tcPr>
          <w:p w:rsidR="00134E0A" w:rsidRPr="001B4BFF" w:rsidRDefault="00134E0A" w:rsidP="00E2206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If the project</w:t>
            </w:r>
            <w:r w:rsidRPr="002C119F">
              <w:rPr>
                <w:rFonts w:cs="Arial"/>
                <w:sz w:val="18"/>
                <w:szCs w:val="18"/>
              </w:rPr>
              <w:t xml:space="preserve"> is not regionally significant, no further action is needed.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34E0A" w:rsidRPr="001B4BFF" w:rsidRDefault="00717DA2" w:rsidP="00134E0A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E0A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E0E05" w:rsidRPr="00101976" w:rsidTr="00274142">
        <w:trPr>
          <w:trHeight w:val="432"/>
        </w:trPr>
        <w:tc>
          <w:tcPr>
            <w:tcW w:w="1764" w:type="dxa"/>
            <w:vAlign w:val="center"/>
          </w:tcPr>
          <w:p w:rsidR="00DE0E05" w:rsidRPr="001B4BFF" w:rsidRDefault="001B10D7" w:rsidP="00274142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Compliance</w:t>
            </w:r>
          </w:p>
        </w:tc>
        <w:tc>
          <w:tcPr>
            <w:tcW w:w="8400" w:type="dxa"/>
            <w:vAlign w:val="center"/>
          </w:tcPr>
          <w:p w:rsidR="00DE0E05" w:rsidRDefault="001B10D7" w:rsidP="00134E0A">
            <w:pPr>
              <w:spacing w:before="60" w:after="60"/>
              <w:rPr>
                <w:sz w:val="18"/>
              </w:rPr>
            </w:pPr>
            <w:r w:rsidRPr="009D30A0">
              <w:rPr>
                <w:rFonts w:cs="Arial"/>
                <w:sz w:val="18"/>
                <w:szCs w:val="18"/>
              </w:rPr>
              <w:t xml:space="preserve">Conformity for regionally significant projects </w:t>
            </w:r>
            <w:r w:rsidR="00134E0A">
              <w:rPr>
                <w:rFonts w:cs="Arial"/>
                <w:sz w:val="18"/>
                <w:szCs w:val="18"/>
              </w:rPr>
              <w:t>is</w:t>
            </w:r>
            <w:r w:rsidRPr="009D30A0">
              <w:rPr>
                <w:rFonts w:cs="Arial"/>
                <w:sz w:val="18"/>
                <w:szCs w:val="18"/>
              </w:rPr>
              <w:t xml:space="preserve"> demonstrated through an established process for inclusion in a metropolitan TIP.</w:t>
            </w:r>
          </w:p>
        </w:tc>
        <w:tc>
          <w:tcPr>
            <w:tcW w:w="840" w:type="dxa"/>
            <w:vAlign w:val="center"/>
          </w:tcPr>
          <w:p w:rsidR="00DE0E05" w:rsidRPr="001B4BFF" w:rsidRDefault="00717DA2" w:rsidP="00DE0E05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:rsidR="001F0083" w:rsidRPr="00101976" w:rsidRDefault="001F0083" w:rsidP="00101976">
      <w:r w:rsidRPr="00101976">
        <w:tab/>
      </w:r>
    </w:p>
    <w:sectPr w:rsidR="001F0083" w:rsidRPr="00101976" w:rsidSect="00797B64">
      <w:footerReference w:type="default" r:id="rId25"/>
      <w:endnotePr>
        <w:numFmt w:val="decimal"/>
      </w:endnotePr>
      <w:pgSz w:w="12240" w:h="15840" w:code="1"/>
      <w:pgMar w:top="1152" w:right="576" w:bottom="1152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A1" w:rsidRDefault="00051BA1">
      <w:pPr>
        <w:spacing w:line="20" w:lineRule="exact"/>
      </w:pPr>
    </w:p>
  </w:endnote>
  <w:endnote w:type="continuationSeparator" w:id="0">
    <w:p w:rsidR="00051BA1" w:rsidRDefault="00051BA1">
      <w:r>
        <w:t xml:space="preserve"> </w:t>
      </w:r>
    </w:p>
  </w:endnote>
  <w:endnote w:type="continuationNotice" w:id="1">
    <w:p w:rsidR="00051BA1" w:rsidRDefault="00051BA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E2" w:rsidRPr="00233773" w:rsidRDefault="007E60E2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</w:pPr>
    <w:r w:rsidRPr="00EA0CD4">
      <w:rPr>
        <w:rFonts w:cs="Arial"/>
        <w:b/>
        <w:bCs/>
        <w:sz w:val="28"/>
        <w:szCs w:val="28"/>
      </w:rPr>
      <w:t>Fig</w:t>
    </w:r>
    <w:r>
      <w:rPr>
        <w:rFonts w:cs="Arial"/>
        <w:b/>
        <w:bCs/>
        <w:sz w:val="28"/>
        <w:szCs w:val="28"/>
      </w:rPr>
      <w:t>ure</w:t>
    </w:r>
    <w:r w:rsidRPr="00EA0CD4">
      <w:rPr>
        <w:rFonts w:cs="Arial"/>
        <w:b/>
        <w:bCs/>
        <w:sz w:val="28"/>
        <w:szCs w:val="28"/>
      </w:rPr>
      <w:t xml:space="preserve"> 136.</w:t>
    </w:r>
    <w:r>
      <w:rPr>
        <w:rFonts w:cs="Arial"/>
        <w:b/>
        <w:bCs/>
        <w:sz w:val="28"/>
        <w:szCs w:val="28"/>
      </w:rPr>
      <w:t>6</w:t>
    </w:r>
    <w:r w:rsidRPr="00EA0CD4">
      <w:rPr>
        <w:rFonts w:cs="Arial"/>
        <w:b/>
        <w:bCs/>
        <w:sz w:val="28"/>
        <w:szCs w:val="28"/>
      </w:rPr>
      <w:t>.</w:t>
    </w:r>
    <w:r>
      <w:rPr>
        <w:rFonts w:cs="Arial"/>
        <w:b/>
        <w:bCs/>
        <w:sz w:val="28"/>
        <w:szCs w:val="28"/>
      </w:rPr>
      <w:t>3</w:t>
    </w:r>
    <w:r>
      <w:rPr>
        <w:rFonts w:cs="Arial"/>
        <w:b/>
        <w:bCs/>
        <w:sz w:val="28"/>
        <w:szCs w:val="28"/>
      </w:rPr>
      <w:tab/>
    </w:r>
    <w:r w:rsidRPr="00EA0CD4">
      <w:rPr>
        <w:rFonts w:cs="Arial"/>
        <w:b/>
        <w:bCs/>
        <w:sz w:val="28"/>
        <w:szCs w:val="28"/>
      </w:rPr>
      <w:t xml:space="preserve"> </w:t>
    </w:r>
    <w:r w:rsidRPr="00EA0CD4">
      <w:rPr>
        <w:rFonts w:cs="Arial"/>
        <w:b/>
        <w:bCs/>
        <w:sz w:val="18"/>
        <w:szCs w:val="18"/>
      </w:rPr>
      <w:t xml:space="preserve">Page </w:t>
    </w:r>
    <w:r w:rsidRPr="00EA0CD4">
      <w:rPr>
        <w:rFonts w:cs="Arial"/>
        <w:b/>
        <w:bCs/>
        <w:sz w:val="18"/>
        <w:szCs w:val="18"/>
      </w:rPr>
      <w:fldChar w:fldCharType="begin"/>
    </w:r>
    <w:r w:rsidRPr="00EA0CD4">
      <w:rPr>
        <w:rFonts w:cs="Arial"/>
        <w:b/>
        <w:bCs/>
        <w:sz w:val="18"/>
        <w:szCs w:val="18"/>
      </w:rPr>
      <w:instrText xml:space="preserve"> PAGE   \* MERGEFORMAT </w:instrText>
    </w:r>
    <w:r w:rsidRPr="00EA0CD4">
      <w:rPr>
        <w:rFonts w:cs="Arial"/>
        <w:b/>
        <w:bCs/>
        <w:sz w:val="18"/>
        <w:szCs w:val="18"/>
      </w:rPr>
      <w:fldChar w:fldCharType="separate"/>
    </w:r>
    <w:r w:rsidR="00F527EC">
      <w:rPr>
        <w:rFonts w:cs="Arial"/>
        <w:b/>
        <w:bCs/>
        <w:noProof/>
        <w:sz w:val="18"/>
        <w:szCs w:val="18"/>
      </w:rPr>
      <w:t>1</w:t>
    </w:r>
    <w:r w:rsidRPr="00EA0CD4">
      <w:rPr>
        <w:rFonts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A1" w:rsidRDefault="00051BA1">
      <w:r>
        <w:separator/>
      </w:r>
    </w:p>
  </w:footnote>
  <w:footnote w:type="continuationSeparator" w:id="0">
    <w:p w:rsidR="00051BA1" w:rsidRDefault="0005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9C"/>
    <w:rsid w:val="00000CBB"/>
    <w:rsid w:val="00006252"/>
    <w:rsid w:val="000224A3"/>
    <w:rsid w:val="00030C07"/>
    <w:rsid w:val="0003187F"/>
    <w:rsid w:val="00044346"/>
    <w:rsid w:val="00050936"/>
    <w:rsid w:val="00051BA1"/>
    <w:rsid w:val="00053E87"/>
    <w:rsid w:val="00066A49"/>
    <w:rsid w:val="00086699"/>
    <w:rsid w:val="00087EF0"/>
    <w:rsid w:val="000A374D"/>
    <w:rsid w:val="000C7B8D"/>
    <w:rsid w:val="000C7CE4"/>
    <w:rsid w:val="000D6F36"/>
    <w:rsid w:val="000E2BDD"/>
    <w:rsid w:val="000E368A"/>
    <w:rsid w:val="000F01DA"/>
    <w:rsid w:val="000F74D7"/>
    <w:rsid w:val="00101976"/>
    <w:rsid w:val="00132A0D"/>
    <w:rsid w:val="00134E0A"/>
    <w:rsid w:val="00154496"/>
    <w:rsid w:val="00170982"/>
    <w:rsid w:val="00171494"/>
    <w:rsid w:val="00177B06"/>
    <w:rsid w:val="001A2A00"/>
    <w:rsid w:val="001A4570"/>
    <w:rsid w:val="001B10D7"/>
    <w:rsid w:val="001B4BFF"/>
    <w:rsid w:val="001B65C2"/>
    <w:rsid w:val="001F0083"/>
    <w:rsid w:val="001F56D7"/>
    <w:rsid w:val="002001D7"/>
    <w:rsid w:val="00214811"/>
    <w:rsid w:val="0021500A"/>
    <w:rsid w:val="00231183"/>
    <w:rsid w:val="00231CC1"/>
    <w:rsid w:val="00233773"/>
    <w:rsid w:val="002420C0"/>
    <w:rsid w:val="00242B4D"/>
    <w:rsid w:val="002445FF"/>
    <w:rsid w:val="0025561E"/>
    <w:rsid w:val="00261371"/>
    <w:rsid w:val="0027228C"/>
    <w:rsid w:val="00274142"/>
    <w:rsid w:val="002801DB"/>
    <w:rsid w:val="00284167"/>
    <w:rsid w:val="00290867"/>
    <w:rsid w:val="002958AB"/>
    <w:rsid w:val="002A3088"/>
    <w:rsid w:val="002A7D7F"/>
    <w:rsid w:val="002B7126"/>
    <w:rsid w:val="002C119F"/>
    <w:rsid w:val="002D04D5"/>
    <w:rsid w:val="002D3E60"/>
    <w:rsid w:val="002F1645"/>
    <w:rsid w:val="00300F87"/>
    <w:rsid w:val="0032411C"/>
    <w:rsid w:val="00335275"/>
    <w:rsid w:val="003448E1"/>
    <w:rsid w:val="0037031E"/>
    <w:rsid w:val="00382035"/>
    <w:rsid w:val="003855CF"/>
    <w:rsid w:val="00396877"/>
    <w:rsid w:val="003A3BC7"/>
    <w:rsid w:val="003B0B15"/>
    <w:rsid w:val="003B3A75"/>
    <w:rsid w:val="003C5795"/>
    <w:rsid w:val="003D1EB3"/>
    <w:rsid w:val="003D7BE3"/>
    <w:rsid w:val="003F1636"/>
    <w:rsid w:val="003F2F29"/>
    <w:rsid w:val="00401E94"/>
    <w:rsid w:val="00405287"/>
    <w:rsid w:val="00425E65"/>
    <w:rsid w:val="004307C3"/>
    <w:rsid w:val="004446E1"/>
    <w:rsid w:val="004466D4"/>
    <w:rsid w:val="004479C9"/>
    <w:rsid w:val="00463547"/>
    <w:rsid w:val="004859AE"/>
    <w:rsid w:val="004A641B"/>
    <w:rsid w:val="004B05CD"/>
    <w:rsid w:val="004D549C"/>
    <w:rsid w:val="004E0751"/>
    <w:rsid w:val="004E14F3"/>
    <w:rsid w:val="004F04DC"/>
    <w:rsid w:val="005052EB"/>
    <w:rsid w:val="0053784F"/>
    <w:rsid w:val="00552199"/>
    <w:rsid w:val="00562861"/>
    <w:rsid w:val="00564475"/>
    <w:rsid w:val="00566D24"/>
    <w:rsid w:val="00571E71"/>
    <w:rsid w:val="00572C38"/>
    <w:rsid w:val="00574798"/>
    <w:rsid w:val="005751FE"/>
    <w:rsid w:val="00575DB7"/>
    <w:rsid w:val="005A2106"/>
    <w:rsid w:val="005A2DC8"/>
    <w:rsid w:val="005A5AC4"/>
    <w:rsid w:val="005A6D9A"/>
    <w:rsid w:val="005B198D"/>
    <w:rsid w:val="005B5829"/>
    <w:rsid w:val="005D0C2D"/>
    <w:rsid w:val="005D615A"/>
    <w:rsid w:val="005E38EA"/>
    <w:rsid w:val="005E57D2"/>
    <w:rsid w:val="005E7C6C"/>
    <w:rsid w:val="005F0DF8"/>
    <w:rsid w:val="005F2C5F"/>
    <w:rsid w:val="005F386A"/>
    <w:rsid w:val="00605726"/>
    <w:rsid w:val="00631E44"/>
    <w:rsid w:val="00645CF7"/>
    <w:rsid w:val="0066237E"/>
    <w:rsid w:val="0067005F"/>
    <w:rsid w:val="00673BE2"/>
    <w:rsid w:val="00682810"/>
    <w:rsid w:val="006829BD"/>
    <w:rsid w:val="0068692C"/>
    <w:rsid w:val="00693E25"/>
    <w:rsid w:val="00695B71"/>
    <w:rsid w:val="006B6DAF"/>
    <w:rsid w:val="006B73B7"/>
    <w:rsid w:val="006C11FD"/>
    <w:rsid w:val="006C2B44"/>
    <w:rsid w:val="006C46EA"/>
    <w:rsid w:val="006C5D02"/>
    <w:rsid w:val="006C7E48"/>
    <w:rsid w:val="006D1976"/>
    <w:rsid w:val="006E28D5"/>
    <w:rsid w:val="00704098"/>
    <w:rsid w:val="007109D5"/>
    <w:rsid w:val="00711DDF"/>
    <w:rsid w:val="00717DA2"/>
    <w:rsid w:val="0073127A"/>
    <w:rsid w:val="00737E0F"/>
    <w:rsid w:val="00752362"/>
    <w:rsid w:val="007528D8"/>
    <w:rsid w:val="007577FD"/>
    <w:rsid w:val="00760830"/>
    <w:rsid w:val="00764501"/>
    <w:rsid w:val="00764D0F"/>
    <w:rsid w:val="00766806"/>
    <w:rsid w:val="00766A7F"/>
    <w:rsid w:val="00790EC5"/>
    <w:rsid w:val="00797B64"/>
    <w:rsid w:val="007B6342"/>
    <w:rsid w:val="007C1713"/>
    <w:rsid w:val="007C7DEB"/>
    <w:rsid w:val="007D3CA0"/>
    <w:rsid w:val="007E4F76"/>
    <w:rsid w:val="007E60E2"/>
    <w:rsid w:val="007E6847"/>
    <w:rsid w:val="007F5C7E"/>
    <w:rsid w:val="007F6F7A"/>
    <w:rsid w:val="008003FC"/>
    <w:rsid w:val="008055A3"/>
    <w:rsid w:val="008138F8"/>
    <w:rsid w:val="00816C43"/>
    <w:rsid w:val="00821EE8"/>
    <w:rsid w:val="008227AF"/>
    <w:rsid w:val="00831C8A"/>
    <w:rsid w:val="00831D89"/>
    <w:rsid w:val="00845392"/>
    <w:rsid w:val="008621AC"/>
    <w:rsid w:val="00870655"/>
    <w:rsid w:val="008752DE"/>
    <w:rsid w:val="00880194"/>
    <w:rsid w:val="008837B9"/>
    <w:rsid w:val="008B197D"/>
    <w:rsid w:val="008B4AEE"/>
    <w:rsid w:val="008C2A67"/>
    <w:rsid w:val="008C72E6"/>
    <w:rsid w:val="008C7492"/>
    <w:rsid w:val="008E04B7"/>
    <w:rsid w:val="008F33F0"/>
    <w:rsid w:val="0090251E"/>
    <w:rsid w:val="0092584D"/>
    <w:rsid w:val="00926506"/>
    <w:rsid w:val="00931509"/>
    <w:rsid w:val="00936533"/>
    <w:rsid w:val="009411BB"/>
    <w:rsid w:val="009503C9"/>
    <w:rsid w:val="00954B43"/>
    <w:rsid w:val="00961F99"/>
    <w:rsid w:val="009700DC"/>
    <w:rsid w:val="009725E2"/>
    <w:rsid w:val="00976990"/>
    <w:rsid w:val="00987F0A"/>
    <w:rsid w:val="009B126C"/>
    <w:rsid w:val="009B6688"/>
    <w:rsid w:val="009B71C9"/>
    <w:rsid w:val="009D294F"/>
    <w:rsid w:val="009D30A0"/>
    <w:rsid w:val="009D7532"/>
    <w:rsid w:val="009F6677"/>
    <w:rsid w:val="00A02C68"/>
    <w:rsid w:val="00A21096"/>
    <w:rsid w:val="00A311B5"/>
    <w:rsid w:val="00A350C1"/>
    <w:rsid w:val="00A45214"/>
    <w:rsid w:val="00A73F2F"/>
    <w:rsid w:val="00A80E69"/>
    <w:rsid w:val="00A8266C"/>
    <w:rsid w:val="00AC223C"/>
    <w:rsid w:val="00AE0581"/>
    <w:rsid w:val="00AE2AEF"/>
    <w:rsid w:val="00AE5F77"/>
    <w:rsid w:val="00AF2E6D"/>
    <w:rsid w:val="00AF4D77"/>
    <w:rsid w:val="00AF7116"/>
    <w:rsid w:val="00B07129"/>
    <w:rsid w:val="00B14CC9"/>
    <w:rsid w:val="00B25B9A"/>
    <w:rsid w:val="00B26E15"/>
    <w:rsid w:val="00B36E3D"/>
    <w:rsid w:val="00B40471"/>
    <w:rsid w:val="00B41C89"/>
    <w:rsid w:val="00B42BFB"/>
    <w:rsid w:val="00B47A5A"/>
    <w:rsid w:val="00B571C0"/>
    <w:rsid w:val="00B71469"/>
    <w:rsid w:val="00B75D85"/>
    <w:rsid w:val="00B8575F"/>
    <w:rsid w:val="00BA69B5"/>
    <w:rsid w:val="00BB2073"/>
    <w:rsid w:val="00BB7999"/>
    <w:rsid w:val="00BC016E"/>
    <w:rsid w:val="00C064A9"/>
    <w:rsid w:val="00C11A7D"/>
    <w:rsid w:val="00C13A3F"/>
    <w:rsid w:val="00C24827"/>
    <w:rsid w:val="00C47C4B"/>
    <w:rsid w:val="00C60E77"/>
    <w:rsid w:val="00C66ABE"/>
    <w:rsid w:val="00C67D9A"/>
    <w:rsid w:val="00C95AF6"/>
    <w:rsid w:val="00CA7139"/>
    <w:rsid w:val="00CB2D24"/>
    <w:rsid w:val="00CD59A2"/>
    <w:rsid w:val="00CD6139"/>
    <w:rsid w:val="00CE1F33"/>
    <w:rsid w:val="00CE6EB2"/>
    <w:rsid w:val="00CF62EE"/>
    <w:rsid w:val="00D01BD5"/>
    <w:rsid w:val="00D0306B"/>
    <w:rsid w:val="00D11668"/>
    <w:rsid w:val="00D1326B"/>
    <w:rsid w:val="00D17B1B"/>
    <w:rsid w:val="00D274C5"/>
    <w:rsid w:val="00D47D02"/>
    <w:rsid w:val="00D521BA"/>
    <w:rsid w:val="00D52FBD"/>
    <w:rsid w:val="00D556B1"/>
    <w:rsid w:val="00D738E1"/>
    <w:rsid w:val="00D82C87"/>
    <w:rsid w:val="00DB6286"/>
    <w:rsid w:val="00DB7CD6"/>
    <w:rsid w:val="00DC31BA"/>
    <w:rsid w:val="00DD6484"/>
    <w:rsid w:val="00DE0E05"/>
    <w:rsid w:val="00DF049A"/>
    <w:rsid w:val="00DF1477"/>
    <w:rsid w:val="00E007DF"/>
    <w:rsid w:val="00E16340"/>
    <w:rsid w:val="00E20E5A"/>
    <w:rsid w:val="00E22064"/>
    <w:rsid w:val="00E26413"/>
    <w:rsid w:val="00E3389F"/>
    <w:rsid w:val="00E37F27"/>
    <w:rsid w:val="00E44B9E"/>
    <w:rsid w:val="00E53B15"/>
    <w:rsid w:val="00E55A2C"/>
    <w:rsid w:val="00E55DF8"/>
    <w:rsid w:val="00E61914"/>
    <w:rsid w:val="00E62983"/>
    <w:rsid w:val="00E87D93"/>
    <w:rsid w:val="00E95B4E"/>
    <w:rsid w:val="00EA0BC3"/>
    <w:rsid w:val="00EA0CD4"/>
    <w:rsid w:val="00EC3F3D"/>
    <w:rsid w:val="00EC6DB2"/>
    <w:rsid w:val="00ED36DB"/>
    <w:rsid w:val="00EE1A4B"/>
    <w:rsid w:val="00EF0F2A"/>
    <w:rsid w:val="00EF54BA"/>
    <w:rsid w:val="00F02D33"/>
    <w:rsid w:val="00F218E7"/>
    <w:rsid w:val="00F33B56"/>
    <w:rsid w:val="00F47042"/>
    <w:rsid w:val="00F527EC"/>
    <w:rsid w:val="00F66E9C"/>
    <w:rsid w:val="00F7107B"/>
    <w:rsid w:val="00F7130D"/>
    <w:rsid w:val="00F747A6"/>
    <w:rsid w:val="00F91F36"/>
    <w:rsid w:val="00FA6513"/>
    <w:rsid w:val="00FB09BD"/>
    <w:rsid w:val="00FC50C3"/>
    <w:rsid w:val="00FC5661"/>
    <w:rsid w:val="00FE1CBD"/>
    <w:rsid w:val="00FE50DD"/>
    <w:rsid w:val="00FE634B"/>
    <w:rsid w:val="00FF0DD9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95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B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01BD5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D01BD5"/>
    <w:pPr>
      <w:suppressAutoHyphens/>
      <w:ind w:left="2880" w:hanging="720"/>
    </w:pPr>
  </w:style>
  <w:style w:type="table" w:styleId="TableGrid">
    <w:name w:val="Table Grid"/>
    <w:basedOn w:val="TableNormal"/>
    <w:rsid w:val="00D01BD5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01B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1BD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01BD5"/>
    <w:rPr>
      <w:rFonts w:ascii="Times Roman" w:hAnsi="Times Roman"/>
    </w:rPr>
  </w:style>
  <w:style w:type="paragraph" w:customStyle="1" w:styleId="TemplateBody">
    <w:name w:val="Template Body"/>
    <w:basedOn w:val="Normal"/>
    <w:rsid w:val="00D01BD5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D01BD5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D01BD5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D01BD5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D01BD5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D01BD5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character" w:customStyle="1" w:styleId="FooterChar">
    <w:name w:val="Footer Char"/>
    <w:link w:val="Footer"/>
    <w:uiPriority w:val="99"/>
    <w:rsid w:val="00E20E5A"/>
    <w:rPr>
      <w:rFonts w:ascii="Arial" w:hAnsi="Arial"/>
    </w:rPr>
  </w:style>
  <w:style w:type="character" w:styleId="Hyperlink">
    <w:name w:val="Hyperlink"/>
    <w:rsid w:val="008C72E6"/>
    <w:rPr>
      <w:color w:val="0000FF"/>
      <w:u w:val="single"/>
    </w:rPr>
  </w:style>
  <w:style w:type="character" w:styleId="FollowedHyperlink">
    <w:name w:val="FollowedHyperlink"/>
    <w:rsid w:val="008C72E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44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4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B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01BD5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D01BD5"/>
    <w:pPr>
      <w:suppressAutoHyphens/>
      <w:ind w:left="2880" w:hanging="720"/>
    </w:pPr>
  </w:style>
  <w:style w:type="table" w:styleId="TableGrid">
    <w:name w:val="Table Grid"/>
    <w:basedOn w:val="TableNormal"/>
    <w:rsid w:val="00D01BD5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01B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1BD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01BD5"/>
    <w:rPr>
      <w:rFonts w:ascii="Times Roman" w:hAnsi="Times Roman"/>
    </w:rPr>
  </w:style>
  <w:style w:type="paragraph" w:customStyle="1" w:styleId="TemplateBody">
    <w:name w:val="Template Body"/>
    <w:basedOn w:val="Normal"/>
    <w:rsid w:val="00D01BD5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D01BD5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D01BD5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D01BD5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D01BD5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D01BD5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character" w:customStyle="1" w:styleId="FooterChar">
    <w:name w:val="Footer Char"/>
    <w:link w:val="Footer"/>
    <w:uiPriority w:val="99"/>
    <w:rsid w:val="00E20E5A"/>
    <w:rPr>
      <w:rFonts w:ascii="Arial" w:hAnsi="Arial"/>
    </w:rPr>
  </w:style>
  <w:style w:type="character" w:styleId="Hyperlink">
    <w:name w:val="Hyperlink"/>
    <w:rsid w:val="008C72E6"/>
    <w:rPr>
      <w:color w:val="0000FF"/>
      <w:u w:val="single"/>
    </w:rPr>
  </w:style>
  <w:style w:type="character" w:styleId="FollowedHyperlink">
    <w:name w:val="FollowedHyperlink"/>
    <w:rsid w:val="008C72E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44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4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pg.modot.org/index.php?title=136.6_Environmental_and_Cultural_Requirements" TargetMode="External"/><Relationship Id="rId18" Type="http://schemas.openxmlformats.org/officeDocument/2006/relationships/hyperlink" Target="http://epg.modot.org/index.php?title=136.6_Environmental_and_Cultural_Requirement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epg.modot.org/index.php?title=136.6_Environmental_and_Cultural_Requiremen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epg.modot.org/index.php?title=136.6_Environmental_and_Cultural_Requirements" TargetMode="External"/><Relationship Id="rId17" Type="http://schemas.openxmlformats.org/officeDocument/2006/relationships/hyperlink" Target="http://epg.modot.org/index.php?title=136.6_Environmental_and_Cultural_Requirement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epg.modot.org/index.php?title=136.6_Environmental_and_Cultural_Requirements" TargetMode="External"/><Relationship Id="rId20" Type="http://schemas.openxmlformats.org/officeDocument/2006/relationships/hyperlink" Target="http://epg.modot.org/index.php?title=136.6_Environmental_and_Cultural_Requirements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pg.modot.org/index.php?title=136.6_Environmental_and_Cultural_Requirements" TargetMode="External"/><Relationship Id="rId24" Type="http://schemas.openxmlformats.org/officeDocument/2006/relationships/hyperlink" Target="http://epg.modot.org/index.php?title=136.6_Environmental_and_Cultural_Requirements" TargetMode="External"/><Relationship Id="rId5" Type="http://schemas.openxmlformats.org/officeDocument/2006/relationships/styles" Target="styles.xml"/><Relationship Id="rId15" Type="http://schemas.openxmlformats.org/officeDocument/2006/relationships/hyperlink" Target="http://epg.modot.org/index.php?title=136.6_Environmental_and_Cultural_Requirements" TargetMode="External"/><Relationship Id="rId23" Type="http://schemas.openxmlformats.org/officeDocument/2006/relationships/hyperlink" Target="http://epg.modot.org/index.php?title=136.6_Environmental_and_Cultural_Requiremen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epg.modot.org/index.php?title=136.6_Environmental_and_Cultural_Requirements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epg.modot.org/index.php?title=136.6_Environmental_and_Cultural_Requirements" TargetMode="External"/><Relationship Id="rId22" Type="http://schemas.openxmlformats.org/officeDocument/2006/relationships/hyperlink" Target="http://epg.modot.org/index.php?title=136.6_Environmental_and_Cultural_Requirements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sj1\AppData\Roaming\Microsoft\Templates\TP0300011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DEC7065904F459B836D408F04AA72" ma:contentTypeVersion="0" ma:contentTypeDescription="Create a new document." ma:contentTypeScope="" ma:versionID="f2b7b1aea3d879225f368e558a42cf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F98773-1501-4911-87AC-9845C418C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80936-23D1-4D7D-9875-CA9417175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C521FF-D27D-44A1-996B-B07289A29B92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TP030001190</Template>
  <TotalTime>1</TotalTime>
  <Pages>4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13948</CharactersWithSpaces>
  <SharedDoc>false</SharedDoc>
  <HLinks>
    <vt:vector size="84" baseType="variant">
      <vt:variant>
        <vt:i4>7864391</vt:i4>
      </vt:variant>
      <vt:variant>
        <vt:i4>131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136.6.4.14_Air_Quality_Requirements</vt:lpwstr>
      </vt:variant>
      <vt:variant>
        <vt:i4>7602246</vt:i4>
      </vt:variant>
      <vt:variant>
        <vt:i4>124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136.6.4.13_Noise_Standards_and_Noise_Abatement</vt:lpwstr>
      </vt:variant>
      <vt:variant>
        <vt:i4>6488143</vt:i4>
      </vt:variant>
      <vt:variant>
        <vt:i4>117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136.6.4.12_Community_Impact_Assessment_.28Social.2FEconomic.2FEnvironmental_Justice.29</vt:lpwstr>
      </vt:variant>
      <vt:variant>
        <vt:i4>1572875</vt:i4>
      </vt:variant>
      <vt:variant>
        <vt:i4>110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136.6.4.11_Farmland_Protection_Policy_Act</vt:lpwstr>
      </vt:variant>
      <vt:variant>
        <vt:i4>7078009</vt:i4>
      </vt:variant>
      <vt:variant>
        <vt:i4>101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136.6.4.10_Hazardous_Waste</vt:lpwstr>
      </vt:variant>
      <vt:variant>
        <vt:i4>4259880</vt:i4>
      </vt:variant>
      <vt:variant>
        <vt:i4>94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136.6.4.9_Borrow_Sites_and_Other_Land_Disturbance_Activities_Outside_Right_of_Way</vt:lpwstr>
      </vt:variant>
      <vt:variant>
        <vt:i4>7471146</vt:i4>
      </vt:variant>
      <vt:variant>
        <vt:i4>81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136.6.4.8_Stormwater_and_Erosion_Control</vt:lpwstr>
      </vt:variant>
      <vt:variant>
        <vt:i4>393330</vt:i4>
      </vt:variant>
      <vt:variant>
        <vt:i4>74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136.6.4.7_State_Emergency_Management_Agency_.28SEMA.29.2FFederal_Emergency_Management_Agency_.28FEMA.29_Buyout_Lands</vt:lpwstr>
      </vt:variant>
      <vt:variant>
        <vt:i4>7798809</vt:i4>
      </vt:variant>
      <vt:variant>
        <vt:i4>63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136.6.4.6_Base_Floodplain_and_Regulatory_Floodway</vt:lpwstr>
      </vt:variant>
      <vt:variant>
        <vt:i4>3014769</vt:i4>
      </vt:variant>
      <vt:variant>
        <vt:i4>50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136.6.4.5_Threatened_and_Endangered_Species</vt:lpwstr>
      </vt:variant>
      <vt:variant>
        <vt:i4>4259952</vt:i4>
      </vt:variant>
      <vt:variant>
        <vt:i4>39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136.6.4.3_Section_404_Permits_for_Wetlands_and_Streams</vt:lpwstr>
      </vt:variant>
      <vt:variant>
        <vt:i4>1835103</vt:i4>
      </vt:variant>
      <vt:variant>
        <vt:i4>26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136.6.4.2_Section_4.28f.29_of_the_U.S._Department_of_Transportation_Act_of_1966_and_Section_6.28f.29_of_the_Land_and_Water_Conservation_Fund_Act_.28LWCFA.29_Properties</vt:lpwstr>
      </vt:variant>
      <vt:variant>
        <vt:i4>2818052</vt:i4>
      </vt:variant>
      <vt:variant>
        <vt:i4>11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136.6.4.1_Section_106_.28Cultural_Resource.29_Compliance</vt:lpwstr>
      </vt:variant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136.6.2_National_Environmental_Policy_Act_.28NEPA.29_Classification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holtsj1</dc:creator>
  <cp:lastModifiedBy>Keith Smith</cp:lastModifiedBy>
  <cp:revision>2</cp:revision>
  <cp:lastPrinted>2018-05-18T18:10:00Z</cp:lastPrinted>
  <dcterms:created xsi:type="dcterms:W3CDTF">2018-10-26T18:54:00Z</dcterms:created>
  <dcterms:modified xsi:type="dcterms:W3CDTF">2018-10-26T18:54:00Z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TC300011909990</vt:lpwstr>
  </property>
  <property fmtid="{D5CDD505-2E9C-101B-9397-08002B2CF9AE}" pid="3" name="ContentTypeId">
    <vt:lpwstr>0x01010004ADEC7065904F459B836D408F04AA72</vt:lpwstr>
  </property>
  <property fmtid="{D5CDD505-2E9C-101B-9397-08002B2CF9AE}" pid="4" name="EPMLiveListConfig">
    <vt:lpwstr/>
  </property>
</Properties>
</file>