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4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400"/>
        <w:gridCol w:w="2604"/>
      </w:tblGrid>
      <w:tr w:rsidR="001F0083" w:rsidRPr="00101976" w:rsidTr="00F43D66">
        <w:tc>
          <w:tcPr>
            <w:tcW w:w="11004" w:type="dxa"/>
            <w:gridSpan w:val="2"/>
            <w:tcBorders>
              <w:top w:val="single" w:sz="4" w:space="0" w:color="808080"/>
            </w:tcBorders>
            <w:shd w:val="clear" w:color="auto" w:fill="D9D9D9"/>
            <w:vAlign w:val="center"/>
          </w:tcPr>
          <w:p w:rsidR="005A2106" w:rsidRPr="001B4BFF" w:rsidRDefault="002B541E" w:rsidP="002B260A">
            <w:pPr>
              <w:pStyle w:val="Default"/>
              <w:jc w:val="center"/>
              <w:rPr>
                <w:b/>
                <w:bCs/>
                <w:caps/>
              </w:rPr>
            </w:pPr>
            <w:bookmarkStart w:id="0" w:name="_GoBack"/>
            <w:bookmarkEnd w:id="0"/>
            <w:r>
              <w:rPr>
                <w:color w:val="003265"/>
                <w:sz w:val="32"/>
                <w:szCs w:val="32"/>
              </w:rPr>
              <w:t xml:space="preserve">Processing </w:t>
            </w:r>
            <w:r w:rsidRPr="002B541E">
              <w:rPr>
                <w:b/>
                <w:i/>
                <w:color w:val="003265"/>
                <w:sz w:val="32"/>
                <w:szCs w:val="32"/>
                <w:u w:val="single"/>
              </w:rPr>
              <w:t>Standard</w:t>
            </w:r>
            <w:r>
              <w:rPr>
                <w:color w:val="003265"/>
                <w:sz w:val="32"/>
                <w:szCs w:val="32"/>
              </w:rPr>
              <w:t xml:space="preserve"> Consultant Contracts</w:t>
            </w:r>
            <w:r w:rsidR="002B260A">
              <w:rPr>
                <w:color w:val="003265"/>
                <w:sz w:val="32"/>
                <w:szCs w:val="32"/>
              </w:rPr>
              <w:t xml:space="preserve"> </w:t>
            </w:r>
            <w:r>
              <w:rPr>
                <w:color w:val="003265"/>
                <w:sz w:val="32"/>
                <w:szCs w:val="32"/>
              </w:rPr>
              <w:t>Checklist</w:t>
            </w:r>
            <w:r w:rsidR="0060531A">
              <w:rPr>
                <w:color w:val="003265"/>
                <w:sz w:val="32"/>
                <w:szCs w:val="32"/>
              </w:rPr>
              <w:t xml:space="preserve"> </w:t>
            </w:r>
            <w:r w:rsidR="0060531A" w:rsidRPr="0060531A">
              <w:rPr>
                <w:i/>
                <w:color w:val="003265"/>
                <w:sz w:val="20"/>
                <w:szCs w:val="20"/>
              </w:rPr>
              <w:t>(see EPG 134)</w:t>
            </w:r>
          </w:p>
        </w:tc>
      </w:tr>
      <w:tr w:rsidR="00A22E32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A22E32" w:rsidRPr="009911A2" w:rsidRDefault="00A22E32" w:rsidP="00A22E32">
            <w:pPr>
              <w:spacing w:before="60" w:after="60"/>
              <w:rPr>
                <w:b/>
                <w:sz w:val="18"/>
                <w:u w:val="single"/>
              </w:rPr>
            </w:pPr>
            <w:r w:rsidRPr="009911A2">
              <w:rPr>
                <w:b/>
                <w:sz w:val="18"/>
                <w:u w:val="single"/>
              </w:rPr>
              <w:t xml:space="preserve">1: </w:t>
            </w:r>
            <w:r>
              <w:rPr>
                <w:b/>
                <w:sz w:val="18"/>
                <w:u w:val="single"/>
              </w:rPr>
              <w:t>PE Funding (EPG 134.2.2.1)</w:t>
            </w:r>
          </w:p>
        </w:tc>
      </w:tr>
      <w:tr w:rsidR="00A22E32" w:rsidRPr="00101976" w:rsidTr="00A22E32">
        <w:tc>
          <w:tcPr>
            <w:tcW w:w="11004" w:type="dxa"/>
            <w:gridSpan w:val="2"/>
            <w:shd w:val="clear" w:color="auto" w:fill="auto"/>
            <w:vAlign w:val="center"/>
          </w:tcPr>
          <w:p w:rsidR="00A22E32" w:rsidRPr="00A22E32" w:rsidRDefault="00A22E32" w:rsidP="002B541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PE funds must be identified in the STIP in order to utilize the DBC </w:t>
            </w:r>
            <w:proofErr w:type="gramStart"/>
            <w:r>
              <w:rPr>
                <w:sz w:val="18"/>
              </w:rPr>
              <w:t>Budget,</w:t>
            </w:r>
            <w:proofErr w:type="gramEnd"/>
            <w:r>
              <w:rPr>
                <w:sz w:val="18"/>
              </w:rPr>
              <w:t xml:space="preserve"> otherwise the </w:t>
            </w:r>
            <w:proofErr w:type="spellStart"/>
            <w:r>
              <w:rPr>
                <w:sz w:val="18"/>
              </w:rPr>
              <w:t>Dist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Div</w:t>
            </w:r>
            <w:proofErr w:type="spellEnd"/>
            <w:r>
              <w:rPr>
                <w:sz w:val="18"/>
              </w:rPr>
              <w:t xml:space="preserve"> must use their own budget to cover the cost of the consultant contract.</w:t>
            </w:r>
          </w:p>
        </w:tc>
      </w:tr>
      <w:tr w:rsidR="00763887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763887" w:rsidRPr="009911A2" w:rsidRDefault="00E90284" w:rsidP="002B541E">
            <w:pPr>
              <w:spacing w:before="60" w:after="60"/>
              <w:rPr>
                <w:rFonts w:cs="Arial"/>
                <w:b/>
                <w:sz w:val="32"/>
                <w:szCs w:val="32"/>
                <w:u w:val="single"/>
              </w:rPr>
            </w:pPr>
            <w:r>
              <w:rPr>
                <w:b/>
                <w:sz w:val="18"/>
                <w:u w:val="single"/>
              </w:rPr>
              <w:t>2</w:t>
            </w:r>
            <w:r w:rsidR="002B541E" w:rsidRPr="009911A2">
              <w:rPr>
                <w:b/>
                <w:sz w:val="18"/>
                <w:u w:val="single"/>
              </w:rPr>
              <w:t>: Solicitation</w:t>
            </w:r>
            <w:r w:rsidR="0060531A">
              <w:rPr>
                <w:b/>
                <w:sz w:val="18"/>
                <w:u w:val="single"/>
              </w:rPr>
              <w:t xml:space="preserve"> (EPG 134.2.2.2)</w:t>
            </w:r>
          </w:p>
        </w:tc>
      </w:tr>
      <w:tr w:rsidR="00763887" w:rsidRPr="00101976" w:rsidTr="00F43D66">
        <w:tc>
          <w:tcPr>
            <w:tcW w:w="8400" w:type="dxa"/>
          </w:tcPr>
          <w:p w:rsidR="00763887" w:rsidRDefault="00763887" w:rsidP="001B65C2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763887" w:rsidRDefault="002B541E" w:rsidP="00D25502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District/Division submit a request to solicit (Fig. 134.2.2.2) to email group </w:t>
            </w:r>
            <w:hyperlink r:id="rId11" w:history="1">
              <w:proofErr w:type="spellStart"/>
              <w:r w:rsidRPr="00163580">
                <w:rPr>
                  <w:rStyle w:val="Hyperlink"/>
                  <w:b/>
                  <w:i/>
                  <w:sz w:val="18"/>
                </w:rPr>
                <w:t>CODEPSCReview</w:t>
              </w:r>
              <w:proofErr w:type="spellEnd"/>
            </w:hyperlink>
          </w:p>
        </w:tc>
        <w:tc>
          <w:tcPr>
            <w:tcW w:w="2604" w:type="dxa"/>
            <w:vAlign w:val="center"/>
          </w:tcPr>
          <w:p w:rsidR="00763887" w:rsidRPr="001B4BFF" w:rsidRDefault="00763887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63580" w:rsidRPr="001B4BFF" w:rsidTr="00163580">
        <w:tc>
          <w:tcPr>
            <w:tcW w:w="8400" w:type="dxa"/>
          </w:tcPr>
          <w:p w:rsidR="00163580" w:rsidRDefault="00163580" w:rsidP="00163580">
            <w:pPr>
              <w:spacing w:after="60"/>
              <w:ind w:left="522" w:hanging="540"/>
              <w:rPr>
                <w:sz w:val="18"/>
              </w:rPr>
            </w:pPr>
          </w:p>
          <w:p w:rsidR="00163580" w:rsidRPr="00163580" w:rsidRDefault="002F717E" w:rsidP="00163580">
            <w:pPr>
              <w:spacing w:after="60"/>
              <w:ind w:left="522" w:hanging="540"/>
              <w:rPr>
                <w:b/>
                <w:i/>
                <w:sz w:val="18"/>
                <w:u w:val="single"/>
              </w:rPr>
            </w:pPr>
            <w:r>
              <w:rPr>
                <w:sz w:val="18"/>
              </w:rPr>
              <w:t xml:space="preserve">District/Division submit a request for DBE Goal to email group </w:t>
            </w:r>
            <w:hyperlink r:id="rId12" w:history="1">
              <w:proofErr w:type="spellStart"/>
              <w:r w:rsidRPr="00163580">
                <w:rPr>
                  <w:rStyle w:val="Hyperlink"/>
                  <w:b/>
                  <w:i/>
                  <w:sz w:val="18"/>
                </w:rPr>
                <w:t>DBEConsultGoal</w:t>
              </w:r>
              <w:proofErr w:type="spellEnd"/>
            </w:hyperlink>
          </w:p>
        </w:tc>
        <w:tc>
          <w:tcPr>
            <w:tcW w:w="2604" w:type="dxa"/>
            <w:vAlign w:val="center"/>
          </w:tcPr>
          <w:p w:rsidR="00163580" w:rsidRPr="001B4BFF" w:rsidRDefault="00163580" w:rsidP="0016358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763887" w:rsidRPr="00101976" w:rsidTr="00F43D66">
        <w:tc>
          <w:tcPr>
            <w:tcW w:w="8400" w:type="dxa"/>
          </w:tcPr>
          <w:p w:rsidR="00763887" w:rsidRDefault="00763887" w:rsidP="00D25502">
            <w:pPr>
              <w:spacing w:after="60"/>
              <w:ind w:left="522" w:hanging="540"/>
              <w:rPr>
                <w:sz w:val="18"/>
              </w:rPr>
            </w:pPr>
          </w:p>
          <w:p w:rsidR="00763887" w:rsidRPr="009911A2" w:rsidRDefault="00616A9E" w:rsidP="00F43D66">
            <w:pPr>
              <w:spacing w:after="60"/>
              <w:ind w:left="522" w:hanging="540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>Solicitation posted to MoDOT website for 14 days (This will be done by Central Office-Design)</w:t>
            </w:r>
          </w:p>
        </w:tc>
        <w:tc>
          <w:tcPr>
            <w:tcW w:w="2604" w:type="dxa"/>
            <w:vAlign w:val="center"/>
          </w:tcPr>
          <w:p w:rsidR="00763887" w:rsidRPr="001B4BFF" w:rsidRDefault="00763887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9911A2" w:rsidRPr="009911A2" w:rsidRDefault="00E90284" w:rsidP="009911A2">
            <w:pPr>
              <w:spacing w:before="60" w:after="60"/>
              <w:rPr>
                <w:rFonts w:cs="Arial"/>
                <w:b/>
                <w:sz w:val="32"/>
                <w:szCs w:val="32"/>
                <w:u w:val="single"/>
              </w:rPr>
            </w:pPr>
            <w:r>
              <w:rPr>
                <w:b/>
                <w:sz w:val="18"/>
                <w:u w:val="single"/>
              </w:rPr>
              <w:t>3</w:t>
            </w:r>
            <w:r w:rsidR="009911A2" w:rsidRPr="009911A2">
              <w:rPr>
                <w:b/>
                <w:sz w:val="18"/>
                <w:u w:val="single"/>
              </w:rPr>
              <w:t>: Email Professional Services Committee (PSC)</w:t>
            </w:r>
            <w:r w:rsidR="0060531A">
              <w:rPr>
                <w:b/>
                <w:sz w:val="18"/>
                <w:u w:val="single"/>
              </w:rPr>
              <w:t xml:space="preserve"> (EPG 134.2.2.5)</w:t>
            </w:r>
          </w:p>
        </w:tc>
      </w:tr>
      <w:tr w:rsidR="009911A2" w:rsidRPr="00101976" w:rsidTr="00F43D66">
        <w:tc>
          <w:tcPr>
            <w:tcW w:w="8400" w:type="dxa"/>
            <w:vAlign w:val="bottom"/>
          </w:tcPr>
          <w:p w:rsidR="009911A2" w:rsidRPr="005D5A4B" w:rsidRDefault="009911A2" w:rsidP="00B063DC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</w:rPr>
              <w:t xml:space="preserve">District/Division to email the PSC (Eric Schroeter, Machelle Watkins, and Dennis Heckman). The email needs to include a list of all firms who submitted letters of interest.  The District/Division must give the PSC 3 business days (from the time the email was sent) </w:t>
            </w:r>
            <w:r w:rsidR="00B063DC">
              <w:rPr>
                <w:sz w:val="18"/>
              </w:rPr>
              <w:t>to respond prior to short</w:t>
            </w:r>
            <w:r>
              <w:rPr>
                <w:sz w:val="18"/>
              </w:rPr>
              <w:t>list</w:t>
            </w:r>
            <w:r w:rsidR="00B063DC">
              <w:rPr>
                <w:sz w:val="18"/>
              </w:rPr>
              <w:t>ing or scoring</w:t>
            </w:r>
            <w:r>
              <w:rPr>
                <w:sz w:val="18"/>
              </w:rPr>
              <w:t>.  If the division/district has not received any response from the PSC within the 3 business days they may proceed on</w:t>
            </w:r>
            <w:r w:rsidR="005D5A4B">
              <w:rPr>
                <w:sz w:val="18"/>
              </w:rPr>
              <w:t xml:space="preserve">.  </w:t>
            </w:r>
            <w:r w:rsidR="005D5A4B" w:rsidRPr="00596EF1">
              <w:rPr>
                <w:b/>
                <w:i/>
                <w:sz w:val="18"/>
              </w:rPr>
              <w:t>**Note:  Only firms that are prequalified with MoDOT financially can be chosen. Firms must update their information yearly in</w:t>
            </w:r>
            <w:r w:rsidR="00B13BA0">
              <w:rPr>
                <w:b/>
                <w:i/>
                <w:sz w:val="18"/>
              </w:rPr>
              <w:t xml:space="preserve"> </w:t>
            </w:r>
            <w:r w:rsidR="005D5A4B" w:rsidRPr="00596EF1">
              <w:rPr>
                <w:b/>
                <w:i/>
                <w:sz w:val="18"/>
              </w:rPr>
              <w:t>order to stay current on their prequalification</w:t>
            </w:r>
            <w:r w:rsidR="005D5A4B">
              <w:rPr>
                <w:b/>
                <w:i/>
                <w:sz w:val="18"/>
              </w:rPr>
              <w:t xml:space="preserve">.  </w:t>
            </w:r>
            <w:hyperlink r:id="rId13" w:history="1">
              <w:r w:rsidR="005D5A4B" w:rsidRPr="0016791F">
                <w:rPr>
                  <w:rStyle w:val="Hyperlink"/>
                  <w:sz w:val="18"/>
                </w:rPr>
                <w:t>MoDOT’s Prequalification List</w:t>
              </w:r>
            </w:hyperlink>
            <w:r w:rsidR="005D5A4B">
              <w:rPr>
                <w:sz w:val="18"/>
              </w:rPr>
              <w:t>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9911A2" w:rsidRPr="009911A2" w:rsidRDefault="00E90284" w:rsidP="00E90284">
            <w:pPr>
              <w:spacing w:after="60"/>
              <w:ind w:left="522" w:hanging="486"/>
              <w:rPr>
                <w:rFonts w:cs="Arial"/>
                <w:b/>
                <w:sz w:val="32"/>
                <w:szCs w:val="32"/>
                <w:u w:val="single"/>
              </w:rPr>
            </w:pPr>
            <w:r>
              <w:rPr>
                <w:b/>
                <w:sz w:val="18"/>
                <w:u w:val="single"/>
              </w:rPr>
              <w:t>4</w:t>
            </w:r>
            <w:r w:rsidR="009911A2" w:rsidRPr="009911A2">
              <w:rPr>
                <w:b/>
                <w:sz w:val="18"/>
                <w:u w:val="single"/>
              </w:rPr>
              <w:t>:  District/Division to get PSC approval on short-list</w:t>
            </w:r>
            <w:r w:rsidR="009911A2">
              <w:rPr>
                <w:b/>
                <w:sz w:val="18"/>
                <w:u w:val="single"/>
              </w:rPr>
              <w:t xml:space="preserve"> (if applicable)</w:t>
            </w:r>
            <w:r w:rsidR="0060531A">
              <w:rPr>
                <w:b/>
                <w:sz w:val="18"/>
                <w:u w:val="single"/>
              </w:rPr>
              <w:t xml:space="preserve"> (EPG 134.2.2.5)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Default="009911A2" w:rsidP="00D25502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District/Division submits PSC approval of short list (Fig. 134.2.2.5.4) to email group </w:t>
            </w:r>
            <w:hyperlink r:id="rId14" w:history="1">
              <w:proofErr w:type="spellStart"/>
              <w:r w:rsidRPr="00245895">
                <w:rPr>
                  <w:rStyle w:val="Hyperlink"/>
                  <w:b/>
                  <w:i/>
                  <w:sz w:val="18"/>
                  <w:szCs w:val="18"/>
                </w:rPr>
                <w:t>CODEPSCReview</w:t>
              </w:r>
              <w:proofErr w:type="spellEnd"/>
            </w:hyperlink>
            <w:r w:rsidRPr="00BD512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Default="009911A2" w:rsidP="001673F1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  <w:szCs w:val="18"/>
              </w:rPr>
              <w:t>Short-listed firms will be placed on MoDOT website for notification (Central Office-Design)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1673F1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rPr>
          <w:trHeight w:val="413"/>
        </w:trPr>
        <w:tc>
          <w:tcPr>
            <w:tcW w:w="11004" w:type="dxa"/>
            <w:gridSpan w:val="2"/>
            <w:shd w:val="clear" w:color="auto" w:fill="D9D9D9"/>
            <w:vAlign w:val="center"/>
          </w:tcPr>
          <w:p w:rsidR="009911A2" w:rsidRPr="009911A2" w:rsidRDefault="00E90284" w:rsidP="009911A2">
            <w:pPr>
              <w:spacing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5</w:t>
            </w:r>
            <w:r w:rsidR="009911A2">
              <w:rPr>
                <w:rFonts w:cs="Arial"/>
                <w:b/>
                <w:sz w:val="18"/>
                <w:szCs w:val="18"/>
                <w:u w:val="single"/>
              </w:rPr>
              <w:t xml:space="preserve">:  </w:t>
            </w:r>
            <w:r w:rsidR="00FC799B">
              <w:rPr>
                <w:rFonts w:cs="Arial"/>
                <w:b/>
                <w:sz w:val="18"/>
                <w:szCs w:val="18"/>
                <w:u w:val="single"/>
              </w:rPr>
              <w:t>PSC approval of Consultant Selection</w:t>
            </w:r>
            <w:r w:rsidR="0060531A">
              <w:rPr>
                <w:rFonts w:cs="Arial"/>
                <w:b/>
                <w:sz w:val="18"/>
                <w:szCs w:val="18"/>
                <w:u w:val="single"/>
              </w:rPr>
              <w:t xml:space="preserve"> (EPG 134.2.2.5)</w:t>
            </w:r>
          </w:p>
        </w:tc>
      </w:tr>
      <w:tr w:rsidR="009911A2" w:rsidRPr="00101976" w:rsidTr="00F43D66">
        <w:trPr>
          <w:trHeight w:val="656"/>
        </w:trPr>
        <w:tc>
          <w:tcPr>
            <w:tcW w:w="8400" w:type="dxa"/>
            <w:vAlign w:val="center"/>
          </w:tcPr>
          <w:p w:rsidR="009911A2" w:rsidRDefault="00FC799B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District/Division </w:t>
            </w:r>
            <w:proofErr w:type="gramStart"/>
            <w:r>
              <w:rPr>
                <w:sz w:val="18"/>
              </w:rPr>
              <w:t>submits  PSC</w:t>
            </w:r>
            <w:proofErr w:type="gramEnd"/>
            <w:r>
              <w:rPr>
                <w:sz w:val="18"/>
              </w:rPr>
              <w:t xml:space="preserve"> approval of selected consultant (Fig. 134.2.2.5.3) to email group </w:t>
            </w:r>
            <w:hyperlink r:id="rId15" w:history="1">
              <w:proofErr w:type="spellStart"/>
              <w:r w:rsidRPr="00166F18">
                <w:rPr>
                  <w:rStyle w:val="Hyperlink"/>
                  <w:b/>
                  <w:i/>
                  <w:sz w:val="18"/>
                </w:rPr>
                <w:t>CODEPSCReview</w:t>
              </w:r>
              <w:proofErr w:type="spellEnd"/>
              <w:r w:rsidRPr="00166F18">
                <w:rPr>
                  <w:rStyle w:val="Hyperlink"/>
                  <w:sz w:val="18"/>
                </w:rPr>
                <w:t>.</w:t>
              </w:r>
            </w:hyperlink>
            <w:r w:rsidR="005D5A4B">
              <w:rPr>
                <w:sz w:val="18"/>
              </w:rPr>
              <w:t xml:space="preserve">  Please ensure the firm is </w:t>
            </w:r>
            <w:r w:rsidR="00B13BA0">
              <w:rPr>
                <w:sz w:val="18"/>
              </w:rPr>
              <w:t>prequalified as listed in Step 3</w:t>
            </w:r>
            <w:r w:rsidR="005D5A4B">
              <w:rPr>
                <w:sz w:val="18"/>
              </w:rPr>
              <w:t>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Default="00FC799B" w:rsidP="009F43A8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The selected consultant will be posted to the website. (Central Office – Design)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576E5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E576E5" w:rsidRDefault="00E90284" w:rsidP="00FC799B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6</w:t>
            </w:r>
            <w:r w:rsidR="00E576E5">
              <w:rPr>
                <w:rFonts w:cs="Arial"/>
                <w:b/>
                <w:sz w:val="18"/>
                <w:szCs w:val="18"/>
                <w:u w:val="single"/>
              </w:rPr>
              <w:t>:  PSC Approval to Execute Contract</w:t>
            </w:r>
            <w:r w:rsidR="0060531A">
              <w:rPr>
                <w:rFonts w:cs="Arial"/>
                <w:b/>
                <w:sz w:val="18"/>
                <w:szCs w:val="18"/>
                <w:u w:val="single"/>
              </w:rPr>
              <w:t xml:space="preserve"> (EPG 134.4)</w:t>
            </w:r>
          </w:p>
        </w:tc>
      </w:tr>
      <w:tr w:rsidR="002F717E" w:rsidRPr="001B4BFF" w:rsidTr="00245895">
        <w:tc>
          <w:tcPr>
            <w:tcW w:w="8400" w:type="dxa"/>
          </w:tcPr>
          <w:p w:rsidR="002F717E" w:rsidRDefault="002F717E" w:rsidP="002F717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District/Division to submit request for PSC approval to execute the contract (Fig. 134.4.1) to email group </w:t>
            </w:r>
            <w:hyperlink r:id="rId16" w:history="1">
              <w:proofErr w:type="spellStart"/>
              <w:r w:rsidRPr="00166F18">
                <w:rPr>
                  <w:rStyle w:val="Hyperlink"/>
                  <w:rFonts w:cs="Arial"/>
                  <w:b/>
                  <w:i/>
                  <w:sz w:val="18"/>
                  <w:szCs w:val="18"/>
                </w:rPr>
                <w:t>CODEPSCReview</w:t>
              </w:r>
              <w:proofErr w:type="spellEnd"/>
            </w:hyperlink>
            <w:r>
              <w:rPr>
                <w:rFonts w:cs="Arial"/>
                <w:sz w:val="18"/>
                <w:szCs w:val="18"/>
              </w:rPr>
              <w:t xml:space="preserve">. CO-Design will send the approval back to the </w:t>
            </w:r>
            <w:proofErr w:type="spellStart"/>
            <w:r>
              <w:rPr>
                <w:rFonts w:cs="Arial"/>
                <w:sz w:val="18"/>
                <w:szCs w:val="18"/>
              </w:rPr>
              <w:t>dist</w:t>
            </w:r>
            <w:proofErr w:type="spellEnd"/>
            <w:r>
              <w:rPr>
                <w:rFonts w:cs="Arial"/>
                <w:sz w:val="18"/>
                <w:szCs w:val="18"/>
              </w:rPr>
              <w:t>/div.</w:t>
            </w:r>
          </w:p>
          <w:p w:rsidR="002F717E" w:rsidRPr="00163580" w:rsidRDefault="002F717E" w:rsidP="00245895">
            <w:pPr>
              <w:spacing w:after="60"/>
              <w:ind w:left="522" w:hanging="540"/>
              <w:rPr>
                <w:b/>
                <w:i/>
                <w:sz w:val="18"/>
                <w:u w:val="single"/>
              </w:rPr>
            </w:pPr>
          </w:p>
        </w:tc>
        <w:tc>
          <w:tcPr>
            <w:tcW w:w="2604" w:type="dxa"/>
            <w:vAlign w:val="center"/>
          </w:tcPr>
          <w:p w:rsidR="002F717E" w:rsidRPr="001B4BFF" w:rsidRDefault="002F717E" w:rsidP="0024589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576E5" w:rsidRPr="00101976" w:rsidTr="00F43D66">
        <w:tc>
          <w:tcPr>
            <w:tcW w:w="8400" w:type="dxa"/>
            <w:shd w:val="clear" w:color="auto" w:fill="auto"/>
            <w:vAlign w:val="center"/>
          </w:tcPr>
          <w:p w:rsidR="002F717E" w:rsidRPr="00E576E5" w:rsidRDefault="002F717E" w:rsidP="002F717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For federally funded projects only, District/Division submit a request for DBE Concurrence to email group </w:t>
            </w:r>
            <w:hyperlink r:id="rId17" w:history="1">
              <w:proofErr w:type="spellStart"/>
              <w:r w:rsidRPr="002F717E">
                <w:rPr>
                  <w:rStyle w:val="Hyperlink"/>
                  <w:b/>
                  <w:i/>
                  <w:sz w:val="18"/>
                </w:rPr>
                <w:t>DBEConcurrence</w:t>
              </w:r>
              <w:proofErr w:type="spellEnd"/>
            </w:hyperlink>
          </w:p>
        </w:tc>
        <w:tc>
          <w:tcPr>
            <w:tcW w:w="2604" w:type="dxa"/>
            <w:shd w:val="clear" w:color="auto" w:fill="auto"/>
            <w:vAlign w:val="center"/>
          </w:tcPr>
          <w:p w:rsidR="00E576E5" w:rsidRPr="00E576E5" w:rsidRDefault="00E576E5" w:rsidP="00E576E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FC799B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FC799B" w:rsidRPr="00FC799B" w:rsidRDefault="00E90284" w:rsidP="00E90284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7</w:t>
            </w:r>
            <w:r w:rsidR="00FC799B">
              <w:rPr>
                <w:rFonts w:cs="Arial"/>
                <w:b/>
                <w:sz w:val="18"/>
                <w:szCs w:val="18"/>
                <w:u w:val="single"/>
              </w:rPr>
              <w:t>:  Contract Execution Process</w:t>
            </w:r>
            <w:r w:rsidR="0060531A">
              <w:rPr>
                <w:rFonts w:cs="Arial"/>
                <w:b/>
                <w:sz w:val="18"/>
                <w:szCs w:val="18"/>
                <w:u w:val="single"/>
              </w:rPr>
              <w:t xml:space="preserve"> (EPG 134.4)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Pr="00B06F12" w:rsidRDefault="00FC799B" w:rsidP="00B20E0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</w:rPr>
              <w:t>District/Division will get the consultant to execute their portion of the contract.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Pr="00B06F12" w:rsidRDefault="00FC799B" w:rsidP="00B20E0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District/Division will mail 3 hard copies </w:t>
            </w:r>
            <w:r w:rsidR="00394E52">
              <w:rPr>
                <w:sz w:val="18"/>
                <w:szCs w:val="18"/>
              </w:rPr>
              <w:t xml:space="preserve">of the contract executed by the </w:t>
            </w:r>
            <w:proofErr w:type="spellStart"/>
            <w:r w:rsidR="00394E52">
              <w:rPr>
                <w:sz w:val="18"/>
                <w:szCs w:val="18"/>
              </w:rPr>
              <w:t>consulant</w:t>
            </w:r>
            <w:proofErr w:type="spellEnd"/>
            <w:r w:rsidR="00394E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Central Office –</w:t>
            </w:r>
            <w:proofErr w:type="gramStart"/>
            <w:r>
              <w:rPr>
                <w:sz w:val="18"/>
                <w:szCs w:val="18"/>
              </w:rPr>
              <w:t>Design .</w:t>
            </w:r>
            <w:proofErr w:type="gramEnd"/>
            <w:r>
              <w:rPr>
                <w:sz w:val="18"/>
                <w:szCs w:val="18"/>
              </w:rPr>
              <w:t xml:space="preserve">  CO-Design will get the contract approved as to form by CCO and signed by the Commission Secretary.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Pr="00A64A16" w:rsidRDefault="00FC799B" w:rsidP="00BB2073">
            <w:pPr>
              <w:spacing w:after="60"/>
              <w:rPr>
                <w:b/>
                <w:sz w:val="18"/>
                <w:u w:val="single"/>
              </w:rPr>
            </w:pPr>
            <w:r w:rsidRPr="00A64A16">
              <w:rPr>
                <w:b/>
                <w:sz w:val="18"/>
                <w:u w:val="single"/>
              </w:rPr>
              <w:t>Central Office – Design will distribute copies of the contract as follows:</w:t>
            </w:r>
          </w:p>
          <w:p w:rsidR="00FC799B" w:rsidRDefault="00FC799B" w:rsidP="00FC799B">
            <w:pPr>
              <w:numPr>
                <w:ilvl w:val="0"/>
                <w:numId w:val="16"/>
              </w:numPr>
              <w:spacing w:after="60"/>
              <w:rPr>
                <w:sz w:val="18"/>
              </w:rPr>
            </w:pPr>
            <w:r>
              <w:rPr>
                <w:sz w:val="18"/>
              </w:rPr>
              <w:t>1 Hard Copy kept by Commission Secretary</w:t>
            </w:r>
          </w:p>
          <w:p w:rsidR="00FC799B" w:rsidRDefault="00FC799B" w:rsidP="00FC799B">
            <w:pPr>
              <w:numPr>
                <w:ilvl w:val="0"/>
                <w:numId w:val="16"/>
              </w:numPr>
              <w:spacing w:after="60"/>
              <w:rPr>
                <w:sz w:val="18"/>
              </w:rPr>
            </w:pPr>
            <w:r>
              <w:rPr>
                <w:sz w:val="18"/>
              </w:rPr>
              <w:t>2 Hard Copies mailed back to the District from CO-Design (1 copy for District, 1 copy for Consultant)</w:t>
            </w:r>
            <w:r w:rsidR="00A64A16">
              <w:rPr>
                <w:sz w:val="18"/>
              </w:rPr>
              <w:t>.  District/Division must mail the consultants copy to them.</w:t>
            </w:r>
          </w:p>
          <w:p w:rsidR="00B13BA0" w:rsidRPr="00B13BA0" w:rsidRDefault="00FC799B" w:rsidP="00FC799B">
            <w:pPr>
              <w:numPr>
                <w:ilvl w:val="0"/>
                <w:numId w:val="16"/>
              </w:numPr>
              <w:spacing w:after="60"/>
              <w:rPr>
                <w:b/>
                <w:i/>
                <w:sz w:val="18"/>
                <w:u w:val="single"/>
              </w:rPr>
            </w:pPr>
            <w:r>
              <w:rPr>
                <w:sz w:val="18"/>
              </w:rPr>
              <w:t xml:space="preserve">Electronic copy to Financial Services email group </w:t>
            </w:r>
            <w:hyperlink r:id="rId18" w:history="1">
              <w:r w:rsidRPr="00166F18">
                <w:rPr>
                  <w:rStyle w:val="Hyperlink"/>
                  <w:b/>
                  <w:i/>
                  <w:sz w:val="18"/>
                </w:rPr>
                <w:t>Obligate</w:t>
              </w:r>
            </w:hyperlink>
            <w:r w:rsidRPr="00FC799B">
              <w:rPr>
                <w:i/>
                <w:sz w:val="18"/>
              </w:rPr>
              <w:t xml:space="preserve">.  </w:t>
            </w:r>
          </w:p>
          <w:p w:rsidR="00FC799B" w:rsidRDefault="00FC799B" w:rsidP="00B13BA0">
            <w:pPr>
              <w:spacing w:after="60"/>
              <w:ind w:left="756"/>
              <w:rPr>
                <w:b/>
                <w:i/>
                <w:sz w:val="18"/>
                <w:u w:val="single"/>
              </w:rPr>
            </w:pPr>
            <w:r w:rsidRPr="00FC799B">
              <w:rPr>
                <w:b/>
                <w:i/>
                <w:sz w:val="18"/>
                <w:u w:val="single"/>
              </w:rPr>
              <w:t xml:space="preserve">Note:  If federal funds are used, the PM/CA must wait for an email from Financial Services indicating that funds have been obligated prior to issuing a NTP to the consultant.  </w:t>
            </w:r>
          </w:p>
          <w:p w:rsidR="00A64A16" w:rsidRPr="00A64A16" w:rsidRDefault="00A64A16" w:rsidP="00FC799B">
            <w:pPr>
              <w:numPr>
                <w:ilvl w:val="0"/>
                <w:numId w:val="16"/>
              </w:numPr>
              <w:spacing w:after="60"/>
              <w:rPr>
                <w:b/>
                <w:i/>
                <w:sz w:val="18"/>
                <w:u w:val="single"/>
              </w:rPr>
            </w:pPr>
            <w:r>
              <w:rPr>
                <w:sz w:val="18"/>
              </w:rPr>
              <w:t>El</w:t>
            </w:r>
            <w:r w:rsidR="00B91192">
              <w:rPr>
                <w:sz w:val="18"/>
              </w:rPr>
              <w:t xml:space="preserve">ectronic copy kept by CO-Design </w:t>
            </w:r>
            <w:proofErr w:type="spellStart"/>
            <w:r w:rsidR="00B91192">
              <w:rPr>
                <w:sz w:val="18"/>
              </w:rPr>
              <w:t>Sharepoint</w:t>
            </w:r>
            <w:proofErr w:type="spellEnd"/>
            <w:r w:rsidR="00B91192">
              <w:rPr>
                <w:sz w:val="18"/>
              </w:rPr>
              <w:t xml:space="preserve"> Site.</w:t>
            </w:r>
          </w:p>
          <w:p w:rsidR="00FC799B" w:rsidRDefault="00A64A16" w:rsidP="00E576E5">
            <w:pPr>
              <w:numPr>
                <w:ilvl w:val="0"/>
                <w:numId w:val="16"/>
              </w:numPr>
              <w:spacing w:after="60"/>
              <w:rPr>
                <w:sz w:val="18"/>
                <w:szCs w:val="18"/>
              </w:rPr>
            </w:pPr>
            <w:r>
              <w:rPr>
                <w:sz w:val="18"/>
              </w:rPr>
              <w:t>Electronic copy to External Civil Rights.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F43D66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F43D66" w:rsidRDefault="00E90284" w:rsidP="00E576E5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8</w:t>
            </w:r>
            <w:r w:rsidR="00F43D66">
              <w:rPr>
                <w:rFonts w:cs="Arial"/>
                <w:b/>
                <w:sz w:val="18"/>
                <w:szCs w:val="18"/>
                <w:u w:val="single"/>
              </w:rPr>
              <w:t>: Notice to Proceed</w:t>
            </w:r>
            <w:r w:rsidR="00681380">
              <w:rPr>
                <w:rFonts w:cs="Arial"/>
                <w:b/>
                <w:sz w:val="18"/>
                <w:szCs w:val="18"/>
                <w:u w:val="single"/>
              </w:rPr>
              <w:t xml:space="preserve"> (EPG 134.4)</w:t>
            </w:r>
          </w:p>
        </w:tc>
      </w:tr>
      <w:tr w:rsidR="00F43D66" w:rsidRPr="00101976" w:rsidTr="00F43D66">
        <w:tc>
          <w:tcPr>
            <w:tcW w:w="8400" w:type="dxa"/>
            <w:shd w:val="clear" w:color="auto" w:fill="auto"/>
            <w:vAlign w:val="center"/>
          </w:tcPr>
          <w:p w:rsidR="00F43D66" w:rsidRDefault="00F43D66" w:rsidP="00E576E5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</w:rPr>
              <w:lastRenderedPageBreak/>
              <w:t>Dist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Div</w:t>
            </w:r>
            <w:proofErr w:type="spellEnd"/>
            <w:r>
              <w:rPr>
                <w:sz w:val="18"/>
              </w:rPr>
              <w:t xml:space="preserve"> sends NTP to consultant after federal funds have been obligated.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43D66" w:rsidRDefault="00F43D66" w:rsidP="00F43D6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576E5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B13BA0" w:rsidRDefault="00B13BA0" w:rsidP="00E576E5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B13BA0" w:rsidRDefault="00B13BA0" w:rsidP="00E576E5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B13BA0" w:rsidRPr="00D0113C" w:rsidRDefault="00B13BA0" w:rsidP="00B13BA0">
            <w:pPr>
              <w:spacing w:before="60" w:after="60"/>
              <w:jc w:val="right"/>
              <w:rPr>
                <w:rFonts w:cs="Arial"/>
                <w:b/>
                <w:color w:val="1F497D"/>
                <w:sz w:val="18"/>
                <w:szCs w:val="18"/>
                <w:u w:val="single"/>
              </w:rPr>
            </w:pPr>
            <w:r w:rsidRPr="00D0113C">
              <w:rPr>
                <w:rFonts w:cs="Arial"/>
                <w:b/>
                <w:color w:val="1F497D"/>
                <w:sz w:val="18"/>
                <w:szCs w:val="18"/>
                <w:u w:val="single"/>
              </w:rPr>
              <w:t>Proceed to Next Page</w:t>
            </w:r>
          </w:p>
          <w:p w:rsidR="00B13BA0" w:rsidRDefault="00B13BA0" w:rsidP="00E576E5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E576E5" w:rsidRPr="00E576E5" w:rsidRDefault="00E90284" w:rsidP="00E576E5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9</w:t>
            </w:r>
            <w:r w:rsidR="00E576E5">
              <w:rPr>
                <w:rFonts w:cs="Arial"/>
                <w:b/>
                <w:sz w:val="18"/>
                <w:szCs w:val="18"/>
                <w:u w:val="single"/>
              </w:rPr>
              <w:t xml:space="preserve">: </w:t>
            </w:r>
            <w:r w:rsidR="00EC5DCF">
              <w:rPr>
                <w:rFonts w:cs="Arial"/>
                <w:b/>
                <w:sz w:val="18"/>
                <w:szCs w:val="18"/>
                <w:u w:val="single"/>
              </w:rPr>
              <w:t>Paying Invoices</w:t>
            </w:r>
            <w:r w:rsidR="0060531A">
              <w:rPr>
                <w:rFonts w:cs="Arial"/>
                <w:b/>
                <w:sz w:val="18"/>
                <w:szCs w:val="18"/>
                <w:u w:val="single"/>
              </w:rPr>
              <w:t xml:space="preserve"> (EPG 134.5.1)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Default="00EC5DCF" w:rsidP="002B260A">
            <w:pPr>
              <w:spacing w:after="60"/>
              <w:ind w:right="1092" w:hanging="18"/>
              <w:rPr>
                <w:sz w:val="18"/>
              </w:rPr>
            </w:pPr>
            <w:proofErr w:type="spellStart"/>
            <w:r>
              <w:rPr>
                <w:sz w:val="18"/>
              </w:rPr>
              <w:t>Dist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Div</w:t>
            </w:r>
            <w:proofErr w:type="spellEnd"/>
            <w:r>
              <w:rPr>
                <w:sz w:val="18"/>
              </w:rPr>
              <w:t xml:space="preserve"> receives invoices (Fig. 134.5.1.1) from the consultant and must review them for </w:t>
            </w:r>
            <w:r w:rsidR="002B260A">
              <w:rPr>
                <w:sz w:val="18"/>
              </w:rPr>
              <w:t>a</w:t>
            </w:r>
            <w:r>
              <w:rPr>
                <w:sz w:val="18"/>
              </w:rPr>
              <w:t>ccuracy.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B91192" w:rsidRDefault="00B91192" w:rsidP="00B91192">
            <w:pPr>
              <w:spacing w:before="60" w:after="60"/>
              <w:rPr>
                <w:sz w:val="18"/>
              </w:rPr>
            </w:pPr>
            <w:proofErr w:type="spellStart"/>
            <w:r>
              <w:rPr>
                <w:sz w:val="18"/>
              </w:rPr>
              <w:t>Dist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Div</w:t>
            </w:r>
            <w:proofErr w:type="spellEnd"/>
            <w:r>
              <w:rPr>
                <w:sz w:val="18"/>
              </w:rPr>
              <w:t xml:space="preserve"> submits invoice to email group </w:t>
            </w:r>
            <w:hyperlink r:id="rId19" w:history="1">
              <w:proofErr w:type="spellStart"/>
              <w:r w:rsidRPr="00166F18">
                <w:rPr>
                  <w:rStyle w:val="Hyperlink"/>
                  <w:b/>
                  <w:i/>
                  <w:sz w:val="18"/>
                </w:rPr>
                <w:t>ContractualPayments</w:t>
              </w:r>
              <w:proofErr w:type="spellEnd"/>
            </w:hyperlink>
            <w:r w:rsidRPr="00BD5128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so the invoice will be paid.  The email or cover letter must state:  </w:t>
            </w:r>
          </w:p>
          <w:p w:rsidR="00B91192" w:rsidRDefault="00B91192" w:rsidP="00B91192">
            <w:pPr>
              <w:numPr>
                <w:ilvl w:val="0"/>
                <w:numId w:val="17"/>
              </w:numPr>
              <w:spacing w:before="60" w:after="60"/>
              <w:rPr>
                <w:sz w:val="18"/>
              </w:rPr>
            </w:pPr>
            <w:r>
              <w:rPr>
                <w:sz w:val="18"/>
              </w:rPr>
              <w:t>Project #,</w:t>
            </w:r>
          </w:p>
          <w:p w:rsidR="00B91192" w:rsidRDefault="00B91192" w:rsidP="00B91192">
            <w:pPr>
              <w:numPr>
                <w:ilvl w:val="0"/>
                <w:numId w:val="17"/>
              </w:numPr>
              <w:spacing w:before="60" w:after="60"/>
              <w:rPr>
                <w:sz w:val="18"/>
              </w:rPr>
            </w:pPr>
            <w:r>
              <w:rPr>
                <w:sz w:val="18"/>
              </w:rPr>
              <w:t>Amount to be paid</w:t>
            </w:r>
          </w:p>
          <w:p w:rsidR="00B91192" w:rsidRDefault="00B91192" w:rsidP="00B91192">
            <w:pPr>
              <w:numPr>
                <w:ilvl w:val="0"/>
                <w:numId w:val="17"/>
              </w:num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Entity/Vendor that is being paid </w:t>
            </w:r>
          </w:p>
          <w:p w:rsidR="009911A2" w:rsidRDefault="00B91192" w:rsidP="00B91192">
            <w:pPr>
              <w:numPr>
                <w:ilvl w:val="0"/>
                <w:numId w:val="17"/>
              </w:numPr>
              <w:spacing w:after="60"/>
              <w:rPr>
                <w:sz w:val="18"/>
              </w:rPr>
            </w:pPr>
            <w:r>
              <w:rPr>
                <w:sz w:val="18"/>
              </w:rPr>
              <w:t>Activity Code</w:t>
            </w:r>
          </w:p>
          <w:p w:rsidR="00CC71BC" w:rsidRDefault="00CC71BC" w:rsidP="00CC71BC">
            <w:pPr>
              <w:ind w:firstLine="756"/>
              <w:rPr>
                <w:rFonts w:cs="Arial"/>
              </w:rPr>
            </w:pPr>
            <w:r>
              <w:rPr>
                <w:rFonts w:cs="Arial"/>
              </w:rPr>
              <w:t>The following are probably the most frequently used for DBC projects: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  <w:u w:val="single"/>
              </w:rPr>
              <w:t>Activity</w:t>
            </w:r>
            <w:r>
              <w:rPr>
                <w:rFonts w:cs="Arial"/>
              </w:rPr>
              <w:t xml:space="preserve">             </w:t>
            </w:r>
            <w:r>
              <w:rPr>
                <w:rFonts w:cs="Arial"/>
                <w:u w:val="single"/>
              </w:rPr>
              <w:t>Description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R351                Conceptual Plans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R352                Surveying/Mapping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R354                Preliminary Plans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R356                Final Design Plans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R358                Final Construction Plans</w:t>
            </w:r>
          </w:p>
          <w:p w:rsidR="00CC71BC" w:rsidRDefault="00CC71BC" w:rsidP="00CC71BC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 xml:space="preserve">R35A                Support – Build New </w:t>
            </w:r>
            <w:proofErr w:type="spellStart"/>
            <w:r>
              <w:rPr>
                <w:rFonts w:cs="Arial"/>
              </w:rPr>
              <w:t>Hwys</w:t>
            </w:r>
            <w:proofErr w:type="spellEnd"/>
            <w:r>
              <w:rPr>
                <w:rFonts w:cs="Arial"/>
              </w:rPr>
              <w:t xml:space="preserve"> &amp; Bridges</w:t>
            </w:r>
          </w:p>
          <w:p w:rsidR="00CC71BC" w:rsidRPr="00B91192" w:rsidRDefault="00CC71BC" w:rsidP="00CC71BC">
            <w:pPr>
              <w:spacing w:after="60"/>
              <w:ind w:left="720"/>
              <w:rPr>
                <w:sz w:val="18"/>
              </w:rPr>
            </w:pPr>
          </w:p>
        </w:tc>
        <w:tc>
          <w:tcPr>
            <w:tcW w:w="2604" w:type="dxa"/>
            <w:vAlign w:val="center"/>
          </w:tcPr>
          <w:p w:rsidR="009911A2" w:rsidRPr="001B4BFF" w:rsidRDefault="009911A2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7452F1" w:rsidRPr="00101976" w:rsidTr="00F43D66">
        <w:tc>
          <w:tcPr>
            <w:tcW w:w="11004" w:type="dxa"/>
            <w:gridSpan w:val="2"/>
            <w:shd w:val="clear" w:color="auto" w:fill="D9D9D9"/>
            <w:vAlign w:val="center"/>
          </w:tcPr>
          <w:p w:rsidR="007452F1" w:rsidRPr="007452F1" w:rsidRDefault="00E90284" w:rsidP="007452F1">
            <w:pPr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10</w:t>
            </w:r>
            <w:r w:rsidR="007452F1" w:rsidRPr="007452F1">
              <w:rPr>
                <w:rFonts w:cs="Arial"/>
                <w:b/>
                <w:sz w:val="18"/>
                <w:szCs w:val="18"/>
                <w:u w:val="single"/>
              </w:rPr>
              <w:t>: Contract Close-Out</w:t>
            </w:r>
            <w:r w:rsidR="00413E0B">
              <w:rPr>
                <w:rFonts w:cs="Arial"/>
                <w:b/>
                <w:sz w:val="18"/>
                <w:szCs w:val="18"/>
                <w:u w:val="single"/>
              </w:rPr>
              <w:t>/Final Invoice</w:t>
            </w:r>
            <w:r w:rsidR="00681380">
              <w:rPr>
                <w:rFonts w:cs="Arial"/>
                <w:b/>
                <w:sz w:val="18"/>
                <w:szCs w:val="18"/>
                <w:u w:val="single"/>
              </w:rPr>
              <w:t xml:space="preserve"> (EPG 134.5.3)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Default="007452F1" w:rsidP="00AA0F6F">
            <w:pPr>
              <w:spacing w:after="6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When submitting the FINAL invoice to Financial Services, the </w:t>
            </w:r>
            <w:proofErr w:type="spellStart"/>
            <w:r>
              <w:rPr>
                <w:sz w:val="18"/>
                <w:szCs w:val="18"/>
              </w:rPr>
              <w:t>Dist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Div</w:t>
            </w:r>
            <w:proofErr w:type="spellEnd"/>
            <w:r>
              <w:rPr>
                <w:sz w:val="18"/>
                <w:szCs w:val="18"/>
              </w:rPr>
              <w:t xml:space="preserve"> must mark the invoice </w:t>
            </w:r>
            <w:r w:rsidR="00AA0F6F">
              <w:rPr>
                <w:sz w:val="18"/>
                <w:szCs w:val="18"/>
              </w:rPr>
              <w:t xml:space="preserve">“FINAL” </w:t>
            </w:r>
            <w:r>
              <w:rPr>
                <w:sz w:val="18"/>
                <w:szCs w:val="18"/>
              </w:rPr>
              <w:t>and tell Financial Services in the cover letter</w:t>
            </w:r>
            <w:r w:rsidR="00681380">
              <w:rPr>
                <w:sz w:val="18"/>
                <w:szCs w:val="18"/>
              </w:rPr>
              <w:t xml:space="preserve"> or email</w:t>
            </w:r>
            <w:r>
              <w:rPr>
                <w:sz w:val="18"/>
                <w:szCs w:val="18"/>
              </w:rPr>
              <w:t xml:space="preserve"> to </w:t>
            </w:r>
            <w:r w:rsidR="00AA0F6F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CLOSE OUT</w:t>
            </w:r>
            <w:r w:rsidR="00AA0F6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the project and no further payments will be processed.</w:t>
            </w:r>
          </w:p>
        </w:tc>
        <w:tc>
          <w:tcPr>
            <w:tcW w:w="2604" w:type="dxa"/>
            <w:vAlign w:val="center"/>
          </w:tcPr>
          <w:p w:rsidR="009911A2" w:rsidRPr="001B4BFF" w:rsidRDefault="009911A2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81380" w:rsidRPr="00101976" w:rsidTr="007B6548">
        <w:tc>
          <w:tcPr>
            <w:tcW w:w="11004" w:type="dxa"/>
            <w:gridSpan w:val="2"/>
            <w:shd w:val="clear" w:color="auto" w:fill="D9D9D9"/>
            <w:vAlign w:val="center"/>
          </w:tcPr>
          <w:p w:rsidR="00681380" w:rsidRPr="001B4BFF" w:rsidRDefault="00681380" w:rsidP="00681380">
            <w:pPr>
              <w:spacing w:before="60" w:after="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11</w:t>
            </w:r>
            <w:r w:rsidRPr="007452F1">
              <w:rPr>
                <w:rFonts w:cs="Arial"/>
                <w:b/>
                <w:sz w:val="18"/>
                <w:szCs w:val="18"/>
                <w:u w:val="single"/>
              </w:rPr>
              <w:t xml:space="preserve">: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Consultant Evaluation (EPG 134.5.4)</w:t>
            </w:r>
          </w:p>
        </w:tc>
      </w:tr>
      <w:tr w:rsidR="009911A2" w:rsidRPr="00101976" w:rsidTr="00F43D66">
        <w:tc>
          <w:tcPr>
            <w:tcW w:w="8400" w:type="dxa"/>
            <w:vAlign w:val="center"/>
          </w:tcPr>
          <w:p w:rsidR="009911A2" w:rsidRDefault="00681380" w:rsidP="00AA0F6F">
            <w:pPr>
              <w:spacing w:after="60"/>
              <w:rPr>
                <w:sz w:val="18"/>
              </w:rPr>
            </w:pPr>
            <w:proofErr w:type="spellStart"/>
            <w:r>
              <w:rPr>
                <w:sz w:val="18"/>
              </w:rPr>
              <w:t>Dist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Div</w:t>
            </w:r>
            <w:proofErr w:type="spellEnd"/>
            <w:r>
              <w:rPr>
                <w:sz w:val="18"/>
              </w:rPr>
              <w:t xml:space="preserve"> must </w:t>
            </w:r>
            <w:r w:rsidRPr="00681380">
              <w:rPr>
                <w:rFonts w:cs="Arial"/>
                <w:color w:val="000000"/>
                <w:sz w:val="18"/>
                <w:szCs w:val="18"/>
                <w:lang w:val="en"/>
              </w:rPr>
              <w:t xml:space="preserve">perform an evaluation (through the </w:t>
            </w:r>
            <w:r w:rsidR="00AA0F6F">
              <w:rPr>
                <w:rFonts w:cs="Arial"/>
                <w:color w:val="000000"/>
                <w:sz w:val="18"/>
                <w:szCs w:val="18"/>
                <w:lang w:val="en"/>
              </w:rPr>
              <w:t>online</w:t>
            </w:r>
            <w:r w:rsidRPr="00681380">
              <w:rPr>
                <w:rFonts w:cs="Arial"/>
                <w:color w:val="000000"/>
                <w:sz w:val="18"/>
                <w:szCs w:val="18"/>
                <w:lang w:val="en"/>
              </w:rPr>
              <w:t xml:space="preserve"> </w:t>
            </w:r>
            <w:hyperlink r:id="rId20" w:history="1">
              <w:r w:rsidRPr="00AA0F6F">
                <w:rPr>
                  <w:rStyle w:val="Hyperlink"/>
                  <w:rFonts w:cs="Arial"/>
                  <w:sz w:val="18"/>
                  <w:szCs w:val="18"/>
                  <w:lang w:val="en"/>
                </w:rPr>
                <w:t>Design Consultant Database</w:t>
              </w:r>
            </w:hyperlink>
            <w:r w:rsidRPr="00681380">
              <w:rPr>
                <w:rFonts w:cs="Arial"/>
                <w:color w:val="000000"/>
                <w:sz w:val="18"/>
                <w:szCs w:val="18"/>
                <w:lang w:val="en"/>
              </w:rPr>
              <w:t>) of the consultant’s performance under any engineering services contract with MoDOT at each project milestone and at a minimum, on an annual basis during the term of the consultant’s services provided by the contract.</w:t>
            </w:r>
          </w:p>
        </w:tc>
        <w:tc>
          <w:tcPr>
            <w:tcW w:w="2604" w:type="dxa"/>
            <w:vAlign w:val="center"/>
          </w:tcPr>
          <w:p w:rsidR="009911A2" w:rsidRPr="001B4BFF" w:rsidRDefault="00681380" w:rsidP="008E2E4B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:rsidR="001F0083" w:rsidRPr="00101976" w:rsidRDefault="001F0083" w:rsidP="00101976"/>
    <w:sectPr w:rsidR="001F0083" w:rsidRPr="00101976" w:rsidSect="00C62A0B">
      <w:footerReference w:type="default" r:id="rId21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95" w:rsidRDefault="00245895">
      <w:pPr>
        <w:spacing w:line="20" w:lineRule="exact"/>
      </w:pPr>
    </w:p>
  </w:endnote>
  <w:endnote w:type="continuationSeparator" w:id="0">
    <w:p w:rsidR="00245895" w:rsidRDefault="00245895">
      <w:r>
        <w:t xml:space="preserve"> </w:t>
      </w:r>
    </w:p>
  </w:endnote>
  <w:endnote w:type="continuationNotice" w:id="1">
    <w:p w:rsidR="00245895" w:rsidRDefault="0024589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95" w:rsidRPr="00233773" w:rsidRDefault="00245895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  <w:t xml:space="preserve">Fig 134.2.2 –Page </w:t>
    </w:r>
    <w:r w:rsidRPr="00E20E5A">
      <w:rPr>
        <w:rFonts w:cs="Arial"/>
        <w:b/>
        <w:bCs/>
        <w:sz w:val="16"/>
        <w:szCs w:val="26"/>
      </w:rPr>
      <w:fldChar w:fldCharType="begin"/>
    </w:r>
    <w:r w:rsidRPr="00E20E5A">
      <w:rPr>
        <w:rFonts w:cs="Arial"/>
        <w:b/>
        <w:bCs/>
        <w:sz w:val="16"/>
        <w:szCs w:val="26"/>
      </w:rPr>
      <w:instrText xml:space="preserve"> PAGE   \* MERGEFORMAT </w:instrText>
    </w:r>
    <w:r w:rsidRPr="00E20E5A">
      <w:rPr>
        <w:rFonts w:cs="Arial"/>
        <w:b/>
        <w:bCs/>
        <w:sz w:val="16"/>
        <w:szCs w:val="26"/>
      </w:rPr>
      <w:fldChar w:fldCharType="separate"/>
    </w:r>
    <w:r w:rsidR="009B5573">
      <w:rPr>
        <w:rFonts w:cs="Arial"/>
        <w:b/>
        <w:bCs/>
        <w:noProof/>
        <w:sz w:val="16"/>
        <w:szCs w:val="26"/>
      </w:rPr>
      <w:t>1</w:t>
    </w:r>
    <w:r w:rsidRPr="00E20E5A">
      <w:rPr>
        <w:rFonts w:cs="Arial"/>
        <w:b/>
        <w:bCs/>
        <w:sz w:val="1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95" w:rsidRDefault="00245895">
      <w:r>
        <w:separator/>
      </w:r>
    </w:p>
  </w:footnote>
  <w:footnote w:type="continuationSeparator" w:id="0">
    <w:p w:rsidR="00245895" w:rsidRDefault="0024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numPicBullet w:numPicBulletId="6">
    <w:pict>
      <v:shape id="_x0000_i1086" type="#_x0000_t75" style="width:3in;height:3in" o:bullet="t"/>
    </w:pict>
  </w:numPicBullet>
  <w:numPicBullet w:numPicBulletId="7">
    <w:pict>
      <v:shape id="_x0000_i1087" type="#_x0000_t75" style="width:3in;height:3in" o:bullet="t"/>
    </w:pict>
  </w:numPicBullet>
  <w:numPicBullet w:numPicBulletId="8">
    <w:pict>
      <v:shape id="_x0000_i1088" type="#_x0000_t75" style="width:3in;height:3in" o:bullet="t"/>
    </w:pict>
  </w:numPicBullet>
  <w:numPicBullet w:numPicBulletId="9">
    <w:pict>
      <v:shape id="_x0000_i1089" type="#_x0000_t75" style="width:3in;height:3in" o:bullet="t"/>
    </w:pict>
  </w:numPicBullet>
  <w:numPicBullet w:numPicBulletId="10">
    <w:pict>
      <v:shape id="_x0000_i1090" type="#_x0000_t75" style="width:3in;height:3in" o:bullet="t"/>
    </w:pict>
  </w:numPicBullet>
  <w:numPicBullet w:numPicBulletId="11">
    <w:pict>
      <v:shape id="_x0000_i1091" type="#_x0000_t75" style="width:3in;height:3in" o:bullet="t"/>
    </w:pict>
  </w:numPicBullet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013D7"/>
    <w:multiLevelType w:val="multilevel"/>
    <w:tmpl w:val="9934F0AE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629D0"/>
    <w:multiLevelType w:val="multilevel"/>
    <w:tmpl w:val="761ED5C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E24087"/>
    <w:multiLevelType w:val="multilevel"/>
    <w:tmpl w:val="920EAA6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F279F"/>
    <w:multiLevelType w:val="hybridMultilevel"/>
    <w:tmpl w:val="0AD4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F6ECE"/>
    <w:multiLevelType w:val="multilevel"/>
    <w:tmpl w:val="263C3AD2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63286"/>
    <w:multiLevelType w:val="hybridMultilevel"/>
    <w:tmpl w:val="F5B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74C8D"/>
    <w:multiLevelType w:val="multilevel"/>
    <w:tmpl w:val="1F241858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A75CD"/>
    <w:multiLevelType w:val="multilevel"/>
    <w:tmpl w:val="05B2C47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"/>
  </w:num>
  <w:num w:numId="10">
    <w:abstractNumId w:val="7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9C"/>
    <w:rsid w:val="00006252"/>
    <w:rsid w:val="0001675A"/>
    <w:rsid w:val="00030C07"/>
    <w:rsid w:val="0003187F"/>
    <w:rsid w:val="000469C5"/>
    <w:rsid w:val="00050936"/>
    <w:rsid w:val="00053E87"/>
    <w:rsid w:val="00066A49"/>
    <w:rsid w:val="00086699"/>
    <w:rsid w:val="00087EF0"/>
    <w:rsid w:val="000920EF"/>
    <w:rsid w:val="000C7B8D"/>
    <w:rsid w:val="000C7CE4"/>
    <w:rsid w:val="000E2BDD"/>
    <w:rsid w:val="000F01DA"/>
    <w:rsid w:val="00101976"/>
    <w:rsid w:val="0015610D"/>
    <w:rsid w:val="00163580"/>
    <w:rsid w:val="00166F18"/>
    <w:rsid w:val="001673F1"/>
    <w:rsid w:val="00170982"/>
    <w:rsid w:val="00171494"/>
    <w:rsid w:val="00177B06"/>
    <w:rsid w:val="00195D77"/>
    <w:rsid w:val="001B4BFF"/>
    <w:rsid w:val="001B65C2"/>
    <w:rsid w:val="001E11F0"/>
    <w:rsid w:val="001F0083"/>
    <w:rsid w:val="002001D7"/>
    <w:rsid w:val="00214811"/>
    <w:rsid w:val="0021500A"/>
    <w:rsid w:val="00215573"/>
    <w:rsid w:val="00231183"/>
    <w:rsid w:val="00231CC1"/>
    <w:rsid w:val="00233773"/>
    <w:rsid w:val="002420C0"/>
    <w:rsid w:val="00242B4D"/>
    <w:rsid w:val="00245895"/>
    <w:rsid w:val="00254063"/>
    <w:rsid w:val="0025561E"/>
    <w:rsid w:val="00261371"/>
    <w:rsid w:val="0027228C"/>
    <w:rsid w:val="002801DB"/>
    <w:rsid w:val="00284167"/>
    <w:rsid w:val="00290867"/>
    <w:rsid w:val="002A7D7F"/>
    <w:rsid w:val="002B260A"/>
    <w:rsid w:val="002B541E"/>
    <w:rsid w:val="002D3E60"/>
    <w:rsid w:val="002F1645"/>
    <w:rsid w:val="002F717E"/>
    <w:rsid w:val="00300F87"/>
    <w:rsid w:val="0032411C"/>
    <w:rsid w:val="0037031E"/>
    <w:rsid w:val="003855CF"/>
    <w:rsid w:val="00394E52"/>
    <w:rsid w:val="003B0B15"/>
    <w:rsid w:val="003B3A21"/>
    <w:rsid w:val="003B3A75"/>
    <w:rsid w:val="003C5795"/>
    <w:rsid w:val="003D7BE3"/>
    <w:rsid w:val="003F2F29"/>
    <w:rsid w:val="00401E94"/>
    <w:rsid w:val="00405287"/>
    <w:rsid w:val="00413E0B"/>
    <w:rsid w:val="00423D0D"/>
    <w:rsid w:val="00425E65"/>
    <w:rsid w:val="004446E1"/>
    <w:rsid w:val="00487415"/>
    <w:rsid w:val="00490BD0"/>
    <w:rsid w:val="004A090C"/>
    <w:rsid w:val="004A5DDE"/>
    <w:rsid w:val="004B05CD"/>
    <w:rsid w:val="004D549C"/>
    <w:rsid w:val="004E14F3"/>
    <w:rsid w:val="004E2182"/>
    <w:rsid w:val="004F04DC"/>
    <w:rsid w:val="0053784F"/>
    <w:rsid w:val="00552199"/>
    <w:rsid w:val="00562861"/>
    <w:rsid w:val="00566D24"/>
    <w:rsid w:val="00571E71"/>
    <w:rsid w:val="00572C38"/>
    <w:rsid w:val="005751FE"/>
    <w:rsid w:val="00575DB7"/>
    <w:rsid w:val="005A2106"/>
    <w:rsid w:val="005A2DC8"/>
    <w:rsid w:val="005A5AC4"/>
    <w:rsid w:val="005A6D9A"/>
    <w:rsid w:val="005B198D"/>
    <w:rsid w:val="005D5A4B"/>
    <w:rsid w:val="005E38EA"/>
    <w:rsid w:val="005E57D2"/>
    <w:rsid w:val="005E7C6C"/>
    <w:rsid w:val="005F2C5F"/>
    <w:rsid w:val="005F2EF3"/>
    <w:rsid w:val="005F386A"/>
    <w:rsid w:val="00601D9C"/>
    <w:rsid w:val="0060531A"/>
    <w:rsid w:val="00605726"/>
    <w:rsid w:val="00616A9E"/>
    <w:rsid w:val="00631520"/>
    <w:rsid w:val="00631E44"/>
    <w:rsid w:val="0066237E"/>
    <w:rsid w:val="0067005F"/>
    <w:rsid w:val="00673BE2"/>
    <w:rsid w:val="00681380"/>
    <w:rsid w:val="006829BD"/>
    <w:rsid w:val="00693E25"/>
    <w:rsid w:val="00695B71"/>
    <w:rsid w:val="006B6DAF"/>
    <w:rsid w:val="006C11FD"/>
    <w:rsid w:val="006C2B44"/>
    <w:rsid w:val="006C46EA"/>
    <w:rsid w:val="006C5D02"/>
    <w:rsid w:val="006C7E48"/>
    <w:rsid w:val="006D1976"/>
    <w:rsid w:val="006E28D5"/>
    <w:rsid w:val="006F5A28"/>
    <w:rsid w:val="00704098"/>
    <w:rsid w:val="007109D5"/>
    <w:rsid w:val="00711DDF"/>
    <w:rsid w:val="0073127A"/>
    <w:rsid w:val="00737E0F"/>
    <w:rsid w:val="007452F1"/>
    <w:rsid w:val="00752362"/>
    <w:rsid w:val="007528D8"/>
    <w:rsid w:val="007577FD"/>
    <w:rsid w:val="00760830"/>
    <w:rsid w:val="00763887"/>
    <w:rsid w:val="00764501"/>
    <w:rsid w:val="00764D0F"/>
    <w:rsid w:val="00766806"/>
    <w:rsid w:val="00766A7F"/>
    <w:rsid w:val="007818DB"/>
    <w:rsid w:val="00790EC5"/>
    <w:rsid w:val="007B6342"/>
    <w:rsid w:val="007B6548"/>
    <w:rsid w:val="007C1713"/>
    <w:rsid w:val="007C7DEB"/>
    <w:rsid w:val="007D3CA0"/>
    <w:rsid w:val="007F5C7E"/>
    <w:rsid w:val="008003FC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B62D7"/>
    <w:rsid w:val="008C2A67"/>
    <w:rsid w:val="008C7492"/>
    <w:rsid w:val="008E04B7"/>
    <w:rsid w:val="008E2E4B"/>
    <w:rsid w:val="008F33F0"/>
    <w:rsid w:val="008F795D"/>
    <w:rsid w:val="0090251E"/>
    <w:rsid w:val="00926506"/>
    <w:rsid w:val="00931509"/>
    <w:rsid w:val="00954B43"/>
    <w:rsid w:val="00961F99"/>
    <w:rsid w:val="009657DA"/>
    <w:rsid w:val="009725E2"/>
    <w:rsid w:val="00972882"/>
    <w:rsid w:val="00976990"/>
    <w:rsid w:val="00980420"/>
    <w:rsid w:val="009911A2"/>
    <w:rsid w:val="009B45DF"/>
    <w:rsid w:val="009B5573"/>
    <w:rsid w:val="009B71C9"/>
    <w:rsid w:val="009C1C88"/>
    <w:rsid w:val="009D14B2"/>
    <w:rsid w:val="009D294F"/>
    <w:rsid w:val="009D7532"/>
    <w:rsid w:val="009F2D8C"/>
    <w:rsid w:val="009F43A8"/>
    <w:rsid w:val="009F6677"/>
    <w:rsid w:val="00A03244"/>
    <w:rsid w:val="00A21096"/>
    <w:rsid w:val="00A22E32"/>
    <w:rsid w:val="00A311B5"/>
    <w:rsid w:val="00A350C1"/>
    <w:rsid w:val="00A45214"/>
    <w:rsid w:val="00A64A16"/>
    <w:rsid w:val="00A7009D"/>
    <w:rsid w:val="00A73F2F"/>
    <w:rsid w:val="00A8266C"/>
    <w:rsid w:val="00A82ECA"/>
    <w:rsid w:val="00AA0F6F"/>
    <w:rsid w:val="00AD7F11"/>
    <w:rsid w:val="00AE0581"/>
    <w:rsid w:val="00AE2AEF"/>
    <w:rsid w:val="00AE5F77"/>
    <w:rsid w:val="00B063DC"/>
    <w:rsid w:val="00B06F12"/>
    <w:rsid w:val="00B13BA0"/>
    <w:rsid w:val="00B20E0E"/>
    <w:rsid w:val="00B25B9A"/>
    <w:rsid w:val="00B26E15"/>
    <w:rsid w:val="00B31EC7"/>
    <w:rsid w:val="00B40471"/>
    <w:rsid w:val="00B41C89"/>
    <w:rsid w:val="00B42BFB"/>
    <w:rsid w:val="00B47A5A"/>
    <w:rsid w:val="00B71469"/>
    <w:rsid w:val="00B75D85"/>
    <w:rsid w:val="00B8575F"/>
    <w:rsid w:val="00B91192"/>
    <w:rsid w:val="00B921B6"/>
    <w:rsid w:val="00BB2073"/>
    <w:rsid w:val="00BC016E"/>
    <w:rsid w:val="00BD5128"/>
    <w:rsid w:val="00C064A9"/>
    <w:rsid w:val="00C11A7D"/>
    <w:rsid w:val="00C13A3F"/>
    <w:rsid w:val="00C2081E"/>
    <w:rsid w:val="00C24827"/>
    <w:rsid w:val="00C47C4B"/>
    <w:rsid w:val="00C62A0B"/>
    <w:rsid w:val="00C95AF6"/>
    <w:rsid w:val="00CB2D24"/>
    <w:rsid w:val="00CC4871"/>
    <w:rsid w:val="00CC71BC"/>
    <w:rsid w:val="00CD59A2"/>
    <w:rsid w:val="00CD6139"/>
    <w:rsid w:val="00CE1F33"/>
    <w:rsid w:val="00D0113C"/>
    <w:rsid w:val="00D01BD5"/>
    <w:rsid w:val="00D11668"/>
    <w:rsid w:val="00D1326B"/>
    <w:rsid w:val="00D17B1B"/>
    <w:rsid w:val="00D231C4"/>
    <w:rsid w:val="00D25502"/>
    <w:rsid w:val="00D274C5"/>
    <w:rsid w:val="00D47D02"/>
    <w:rsid w:val="00D52FBD"/>
    <w:rsid w:val="00D738E1"/>
    <w:rsid w:val="00DF049A"/>
    <w:rsid w:val="00E007DF"/>
    <w:rsid w:val="00E12812"/>
    <w:rsid w:val="00E20E5A"/>
    <w:rsid w:val="00E248D5"/>
    <w:rsid w:val="00E26413"/>
    <w:rsid w:val="00E3389F"/>
    <w:rsid w:val="00E37F27"/>
    <w:rsid w:val="00E44B9E"/>
    <w:rsid w:val="00E55A2C"/>
    <w:rsid w:val="00E576E5"/>
    <w:rsid w:val="00E61914"/>
    <w:rsid w:val="00E64DDB"/>
    <w:rsid w:val="00E90284"/>
    <w:rsid w:val="00EA0BC3"/>
    <w:rsid w:val="00EC5DCF"/>
    <w:rsid w:val="00EC6DB2"/>
    <w:rsid w:val="00EE1A4B"/>
    <w:rsid w:val="00EF0F2A"/>
    <w:rsid w:val="00EF54BA"/>
    <w:rsid w:val="00F075E3"/>
    <w:rsid w:val="00F218E7"/>
    <w:rsid w:val="00F33B56"/>
    <w:rsid w:val="00F363B0"/>
    <w:rsid w:val="00F43D66"/>
    <w:rsid w:val="00F47042"/>
    <w:rsid w:val="00F64124"/>
    <w:rsid w:val="00F66A4D"/>
    <w:rsid w:val="00F66E9C"/>
    <w:rsid w:val="00F747A6"/>
    <w:rsid w:val="00FB09BD"/>
    <w:rsid w:val="00FB6E28"/>
    <w:rsid w:val="00FC799B"/>
    <w:rsid w:val="00FE0A95"/>
    <w:rsid w:val="00FE1CBD"/>
    <w:rsid w:val="00FE50DD"/>
    <w:rsid w:val="00FF0DD9"/>
    <w:rsid w:val="00FF3007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5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B45D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9B45DF"/>
    <w:pPr>
      <w:suppressAutoHyphens/>
      <w:ind w:left="2880" w:hanging="720"/>
    </w:pPr>
  </w:style>
  <w:style w:type="table" w:styleId="TableGrid">
    <w:name w:val="Table Grid"/>
    <w:basedOn w:val="TableNormal"/>
    <w:rsid w:val="009B45DF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B45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4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45DF"/>
    <w:rPr>
      <w:rFonts w:ascii="Times Roman" w:hAnsi="Times Roman"/>
    </w:rPr>
  </w:style>
  <w:style w:type="paragraph" w:customStyle="1" w:styleId="TemplateBody">
    <w:name w:val="Template Body"/>
    <w:basedOn w:val="Normal"/>
    <w:rsid w:val="009B45D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9B45D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9B45D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9B45D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9B45D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9B45D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rsid w:val="00E20E5A"/>
    <w:rPr>
      <w:rFonts w:ascii="Arial" w:hAnsi="Arial"/>
    </w:rPr>
  </w:style>
  <w:style w:type="paragraph" w:customStyle="1" w:styleId="Default">
    <w:name w:val="Default"/>
    <w:rsid w:val="009C1C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D5A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7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5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B45D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9B45DF"/>
    <w:pPr>
      <w:suppressAutoHyphens/>
      <w:ind w:left="2880" w:hanging="720"/>
    </w:pPr>
  </w:style>
  <w:style w:type="table" w:styleId="TableGrid">
    <w:name w:val="Table Grid"/>
    <w:basedOn w:val="TableNormal"/>
    <w:rsid w:val="009B45DF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B45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4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45DF"/>
    <w:rPr>
      <w:rFonts w:ascii="Times Roman" w:hAnsi="Times Roman"/>
    </w:rPr>
  </w:style>
  <w:style w:type="paragraph" w:customStyle="1" w:styleId="TemplateBody">
    <w:name w:val="Template Body"/>
    <w:basedOn w:val="Normal"/>
    <w:rsid w:val="009B45D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9B45D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9B45D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9B45D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9B45D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9B45D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rsid w:val="00E20E5A"/>
    <w:rPr>
      <w:rFonts w:ascii="Arial" w:hAnsi="Arial"/>
    </w:rPr>
  </w:style>
  <w:style w:type="paragraph" w:customStyle="1" w:styleId="Default">
    <w:name w:val="Default"/>
    <w:rsid w:val="009C1C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D5A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7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08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001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20136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dot.org/business/consultant_resources/documents/ConsultantPreQualList.pdf" TargetMode="External"/><Relationship Id="rId18" Type="http://schemas.openxmlformats.org/officeDocument/2006/relationships/hyperlink" Target="mailto:Obligate@modot.mo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DBEConsultGoal@modot.mo.gov" TargetMode="External"/><Relationship Id="rId17" Type="http://schemas.openxmlformats.org/officeDocument/2006/relationships/hyperlink" Target="mailto:DBEConcurrence@modot.mo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DEPSCReview@modot.mo.gov" TargetMode="External"/><Relationship Id="rId20" Type="http://schemas.openxmlformats.org/officeDocument/2006/relationships/hyperlink" Target="http://netprod3/DesignConsultant/Questionnaire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ODEPSCReview@modot.mo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ODEPSCReview@modot.mo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ntractualPayments@modot.mo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CODEPSCReview@modot.mo.gov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8EE57-B1A1-4F7B-BAA3-250C2C5FBD06}">
  <ds:schemaRefs>
    <ds:schemaRef ds:uri="http://schemas.microsoft.com/office/infopath/2007/PartnerControls"/>
    <ds:schemaRef ds:uri="f74bb9dd-bc32-4568-859c-2052de4b68d1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8BC435-4926-4DD2-A3D7-8163E1008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98773-1501-4911-87AC-9845C418C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TP030001190.dotx</Template>
  <TotalTime>1</TotalTime>
  <Pages>2</Pages>
  <Words>692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5238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http://www.modot.org/business/consultant_resources/documents/ConsultantPreQualList.pdf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Keith Smith</cp:lastModifiedBy>
  <cp:revision>2</cp:revision>
  <cp:lastPrinted>2012-01-23T18:48:00Z</cp:lastPrinted>
  <dcterms:created xsi:type="dcterms:W3CDTF">2014-10-16T15:27:00Z</dcterms:created>
  <dcterms:modified xsi:type="dcterms:W3CDTF">2014-10-16T15:27:00Z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0x01010056EBC976CAED0D47B68B814360BB25E1</vt:lpwstr>
  </property>
</Properties>
</file>