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ind w:left="720" w:hanging="720"/>
        <w:jc w:val="center"/>
        <w:rPr>
          <w:color w:val="000000"/>
          <w:sz w:val="20"/>
          <w:szCs w:val="20"/>
        </w:rPr>
      </w:pPr>
      <w:r>
        <w:rPr>
          <w:b/>
          <w:bCs/>
          <w:color w:val="000000"/>
          <w:sz w:val="20"/>
          <w:szCs w:val="20"/>
        </w:rPr>
        <w:t>RURAL DESIGN CRITERIA - RESURFACING,</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ind w:left="720" w:hanging="720"/>
        <w:jc w:val="center"/>
        <w:rPr>
          <w:color w:val="000000"/>
          <w:sz w:val="20"/>
          <w:szCs w:val="20"/>
        </w:rPr>
      </w:pPr>
      <w:r>
        <w:rPr>
          <w:b/>
          <w:bCs/>
          <w:color w:val="000000"/>
          <w:sz w:val="20"/>
          <w:szCs w:val="20"/>
        </w:rPr>
        <w:t>RESTORATION &amp; REHABILITATION (3R) PROJECTS</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ind w:left="720" w:hanging="720"/>
        <w:rPr>
          <w:color w:val="000000"/>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103"/>
        <w:gridCol w:w="1460"/>
        <w:gridCol w:w="1460"/>
        <w:gridCol w:w="1460"/>
      </w:tblGrid>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jc w:val="center"/>
              <w:rPr>
                <w:color w:val="000000"/>
                <w:sz w:val="20"/>
                <w:szCs w:val="20"/>
              </w:rPr>
            </w:pPr>
            <w:r>
              <w:rPr>
                <w:b/>
                <w:bCs/>
                <w:color w:val="000000"/>
                <w:sz w:val="20"/>
                <w:szCs w:val="20"/>
              </w:rPr>
              <w:t>ENGLISH</w:t>
            </w:r>
          </w:p>
        </w:tc>
        <w:tc>
          <w:tcPr>
            <w:tcW w:w="4380" w:type="dxa"/>
            <w:gridSpan w:val="3"/>
          </w:tcPr>
          <w:p w:rsidR="008A76C6" w:rsidRDefault="008A76C6">
            <w:pPr>
              <w:widowControl w:val="0"/>
              <w:autoSpaceDE w:val="0"/>
              <w:autoSpaceDN w:val="0"/>
              <w:adjustRightInd w:val="0"/>
              <w:jc w:val="center"/>
              <w:rPr>
                <w:color w:val="000000"/>
                <w:sz w:val="20"/>
                <w:szCs w:val="20"/>
              </w:rPr>
            </w:pPr>
            <w:r>
              <w:rPr>
                <w:b/>
                <w:bCs/>
                <w:color w:val="000000"/>
                <w:sz w:val="20"/>
                <w:szCs w:val="20"/>
              </w:rPr>
              <w:t>10-Year Design ADT</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p>
        </w:tc>
        <w:tc>
          <w:tcPr>
            <w:tcW w:w="1460" w:type="dxa"/>
          </w:tcPr>
          <w:p w:rsidR="008A76C6" w:rsidRDefault="008A76C6">
            <w:pPr>
              <w:widowControl w:val="0"/>
              <w:autoSpaceDE w:val="0"/>
              <w:autoSpaceDN w:val="0"/>
              <w:adjustRightInd w:val="0"/>
              <w:jc w:val="center"/>
              <w:rPr>
                <w:color w:val="000000"/>
                <w:sz w:val="20"/>
                <w:szCs w:val="20"/>
              </w:rPr>
            </w:pPr>
            <w:r>
              <w:rPr>
                <w:b/>
                <w:bCs/>
                <w:color w:val="000000"/>
                <w:sz w:val="20"/>
                <w:szCs w:val="20"/>
              </w:rPr>
              <w:t>&gt;1700</w:t>
            </w:r>
          </w:p>
        </w:tc>
        <w:tc>
          <w:tcPr>
            <w:tcW w:w="1460" w:type="dxa"/>
          </w:tcPr>
          <w:p w:rsidR="008A76C6" w:rsidRDefault="008A76C6">
            <w:pPr>
              <w:widowControl w:val="0"/>
              <w:autoSpaceDE w:val="0"/>
              <w:autoSpaceDN w:val="0"/>
              <w:adjustRightInd w:val="0"/>
              <w:jc w:val="center"/>
              <w:rPr>
                <w:color w:val="000000"/>
                <w:sz w:val="20"/>
                <w:szCs w:val="20"/>
              </w:rPr>
            </w:pPr>
            <w:r>
              <w:rPr>
                <w:b/>
                <w:bCs/>
                <w:color w:val="000000"/>
                <w:sz w:val="20"/>
                <w:szCs w:val="20"/>
              </w:rPr>
              <w:t>400-1700</w:t>
            </w:r>
          </w:p>
        </w:tc>
        <w:tc>
          <w:tcPr>
            <w:tcW w:w="1460" w:type="dxa"/>
          </w:tcPr>
          <w:p w:rsidR="008A76C6" w:rsidRDefault="008A76C6">
            <w:pPr>
              <w:widowControl w:val="0"/>
              <w:autoSpaceDE w:val="0"/>
              <w:autoSpaceDN w:val="0"/>
              <w:adjustRightInd w:val="0"/>
              <w:jc w:val="center"/>
              <w:rPr>
                <w:color w:val="000000"/>
                <w:sz w:val="20"/>
                <w:szCs w:val="20"/>
              </w:rPr>
            </w:pPr>
            <w:r>
              <w:rPr>
                <w:b/>
                <w:bCs/>
                <w:color w:val="000000"/>
                <w:sz w:val="20"/>
                <w:szCs w:val="20"/>
              </w:rPr>
              <w:t>&lt;400</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r>
              <w:rPr>
                <w:color w:val="000000"/>
                <w:sz w:val="20"/>
                <w:szCs w:val="20"/>
              </w:rPr>
              <w:t>Anticipated Posted Speed (mph)</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55.00</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55.00</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55.00</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r>
              <w:rPr>
                <w:color w:val="000000"/>
                <w:sz w:val="20"/>
                <w:szCs w:val="20"/>
              </w:rPr>
              <w:t>Lane Width (ft.) (1)</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11.00</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11.00</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10.00</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r>
              <w:rPr>
                <w:color w:val="000000"/>
                <w:sz w:val="20"/>
                <w:szCs w:val="20"/>
              </w:rPr>
              <w:t>Combined Lane and Shoulder Width (ft.)</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17 (2)</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14 (2)</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12 (3)</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r>
              <w:rPr>
                <w:color w:val="000000"/>
                <w:sz w:val="20"/>
                <w:szCs w:val="20"/>
              </w:rPr>
              <w:t>Maximum Horizontal Curvature (degrees) (4)</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10.00</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12.25</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12.25</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r>
              <w:rPr>
                <w:color w:val="000000"/>
                <w:sz w:val="20"/>
                <w:szCs w:val="20"/>
              </w:rPr>
              <w:t>Vertical Alignment</w:t>
            </w:r>
          </w:p>
          <w:p w:rsidR="008A76C6" w:rsidRDefault="008A76C6">
            <w:pPr>
              <w:widowControl w:val="0"/>
              <w:autoSpaceDE w:val="0"/>
              <w:autoSpaceDN w:val="0"/>
              <w:adjustRightInd w:val="0"/>
              <w:rPr>
                <w:color w:val="000000"/>
                <w:sz w:val="20"/>
                <w:szCs w:val="20"/>
              </w:rPr>
            </w:pPr>
            <w:r>
              <w:rPr>
                <w:color w:val="000000"/>
                <w:sz w:val="20"/>
                <w:szCs w:val="20"/>
              </w:rPr>
              <w:t xml:space="preserve">     (A) Sags (K value)</w:t>
            </w:r>
          </w:p>
          <w:p w:rsidR="008A76C6" w:rsidRDefault="008A76C6">
            <w:pPr>
              <w:widowControl w:val="0"/>
              <w:autoSpaceDE w:val="0"/>
              <w:autoSpaceDN w:val="0"/>
              <w:adjustRightInd w:val="0"/>
              <w:rPr>
                <w:color w:val="000000"/>
                <w:sz w:val="20"/>
                <w:szCs w:val="20"/>
              </w:rPr>
            </w:pPr>
            <w:r>
              <w:rPr>
                <w:color w:val="000000"/>
                <w:sz w:val="20"/>
                <w:szCs w:val="20"/>
              </w:rPr>
              <w:t xml:space="preserve">     (B) Stopping Sight Distance (ft.)</w:t>
            </w:r>
          </w:p>
        </w:tc>
        <w:tc>
          <w:tcPr>
            <w:tcW w:w="1460" w:type="dxa"/>
          </w:tcPr>
          <w:p w:rsidR="008A76C6" w:rsidRDefault="008A76C6">
            <w:pPr>
              <w:widowControl w:val="0"/>
              <w:autoSpaceDE w:val="0"/>
              <w:autoSpaceDN w:val="0"/>
              <w:adjustRightInd w:val="0"/>
              <w:jc w:val="center"/>
              <w:rPr>
                <w:color w:val="000000"/>
                <w:sz w:val="20"/>
                <w:szCs w:val="20"/>
              </w:rPr>
            </w:pPr>
          </w:p>
          <w:p w:rsidR="008A76C6" w:rsidRDefault="008A76C6">
            <w:pPr>
              <w:widowControl w:val="0"/>
              <w:autoSpaceDE w:val="0"/>
              <w:autoSpaceDN w:val="0"/>
              <w:adjustRightInd w:val="0"/>
              <w:jc w:val="center"/>
              <w:rPr>
                <w:color w:val="000000"/>
                <w:sz w:val="20"/>
                <w:szCs w:val="20"/>
              </w:rPr>
            </w:pPr>
            <w:r>
              <w:rPr>
                <w:color w:val="000000"/>
                <w:sz w:val="20"/>
                <w:szCs w:val="20"/>
              </w:rPr>
              <w:t>Existing</w:t>
            </w:r>
          </w:p>
          <w:p w:rsidR="008A76C6" w:rsidRDefault="008A76C6">
            <w:pPr>
              <w:widowControl w:val="0"/>
              <w:autoSpaceDE w:val="0"/>
              <w:autoSpaceDN w:val="0"/>
              <w:adjustRightInd w:val="0"/>
              <w:jc w:val="center"/>
              <w:rPr>
                <w:color w:val="000000"/>
                <w:sz w:val="20"/>
                <w:szCs w:val="20"/>
              </w:rPr>
            </w:pPr>
            <w:r>
              <w:rPr>
                <w:color w:val="000000"/>
                <w:sz w:val="20"/>
                <w:szCs w:val="20"/>
              </w:rPr>
              <w:t>325</w:t>
            </w:r>
          </w:p>
        </w:tc>
        <w:tc>
          <w:tcPr>
            <w:tcW w:w="1460" w:type="dxa"/>
          </w:tcPr>
          <w:p w:rsidR="008A76C6" w:rsidRDefault="008A76C6">
            <w:pPr>
              <w:widowControl w:val="0"/>
              <w:autoSpaceDE w:val="0"/>
              <w:autoSpaceDN w:val="0"/>
              <w:adjustRightInd w:val="0"/>
              <w:jc w:val="center"/>
              <w:rPr>
                <w:color w:val="000000"/>
                <w:sz w:val="20"/>
                <w:szCs w:val="20"/>
              </w:rPr>
            </w:pPr>
          </w:p>
          <w:p w:rsidR="008A76C6" w:rsidRDefault="008A76C6">
            <w:pPr>
              <w:widowControl w:val="0"/>
              <w:autoSpaceDE w:val="0"/>
              <w:autoSpaceDN w:val="0"/>
              <w:adjustRightInd w:val="0"/>
              <w:jc w:val="center"/>
              <w:rPr>
                <w:color w:val="000000"/>
                <w:sz w:val="20"/>
                <w:szCs w:val="20"/>
              </w:rPr>
            </w:pPr>
            <w:r>
              <w:rPr>
                <w:color w:val="000000"/>
                <w:sz w:val="20"/>
                <w:szCs w:val="20"/>
              </w:rPr>
              <w:t>Existing</w:t>
            </w:r>
          </w:p>
          <w:p w:rsidR="008A76C6" w:rsidRDefault="008A76C6">
            <w:pPr>
              <w:widowControl w:val="0"/>
              <w:autoSpaceDE w:val="0"/>
              <w:autoSpaceDN w:val="0"/>
              <w:adjustRightInd w:val="0"/>
              <w:jc w:val="center"/>
              <w:rPr>
                <w:color w:val="000000"/>
                <w:sz w:val="20"/>
                <w:szCs w:val="20"/>
              </w:rPr>
            </w:pPr>
            <w:r>
              <w:rPr>
                <w:color w:val="000000"/>
                <w:sz w:val="20"/>
                <w:szCs w:val="20"/>
              </w:rPr>
              <w:t>275</w:t>
            </w:r>
          </w:p>
        </w:tc>
        <w:tc>
          <w:tcPr>
            <w:tcW w:w="1460" w:type="dxa"/>
          </w:tcPr>
          <w:p w:rsidR="008A76C6" w:rsidRDefault="008A76C6">
            <w:pPr>
              <w:widowControl w:val="0"/>
              <w:autoSpaceDE w:val="0"/>
              <w:autoSpaceDN w:val="0"/>
              <w:adjustRightInd w:val="0"/>
              <w:jc w:val="center"/>
              <w:rPr>
                <w:color w:val="000000"/>
                <w:sz w:val="20"/>
                <w:szCs w:val="20"/>
              </w:rPr>
            </w:pPr>
          </w:p>
          <w:p w:rsidR="008A76C6" w:rsidRDefault="008A76C6">
            <w:pPr>
              <w:widowControl w:val="0"/>
              <w:autoSpaceDE w:val="0"/>
              <w:autoSpaceDN w:val="0"/>
              <w:adjustRightInd w:val="0"/>
              <w:jc w:val="center"/>
              <w:rPr>
                <w:color w:val="000000"/>
                <w:sz w:val="20"/>
                <w:szCs w:val="20"/>
              </w:rPr>
            </w:pPr>
            <w:r>
              <w:rPr>
                <w:color w:val="000000"/>
                <w:sz w:val="20"/>
                <w:szCs w:val="20"/>
              </w:rPr>
              <w:t>Existing</w:t>
            </w:r>
          </w:p>
          <w:p w:rsidR="008A76C6" w:rsidRDefault="008A76C6">
            <w:pPr>
              <w:widowControl w:val="0"/>
              <w:autoSpaceDE w:val="0"/>
              <w:autoSpaceDN w:val="0"/>
              <w:adjustRightInd w:val="0"/>
              <w:jc w:val="center"/>
              <w:rPr>
                <w:color w:val="000000"/>
                <w:sz w:val="20"/>
                <w:szCs w:val="20"/>
              </w:rPr>
            </w:pPr>
            <w:r>
              <w:rPr>
                <w:color w:val="000000"/>
                <w:sz w:val="20"/>
                <w:szCs w:val="20"/>
              </w:rPr>
              <w:t>225</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r>
              <w:rPr>
                <w:color w:val="000000"/>
                <w:sz w:val="20"/>
                <w:szCs w:val="20"/>
              </w:rPr>
              <w:t>Maximum Grade (percent)</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Existing</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Existing</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Existing</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r>
              <w:rPr>
                <w:color w:val="000000"/>
                <w:sz w:val="20"/>
                <w:szCs w:val="20"/>
              </w:rPr>
              <w:t>Cross Slope (ft</w:t>
            </w:r>
            <w:proofErr w:type="gramStart"/>
            <w:r>
              <w:rPr>
                <w:color w:val="000000"/>
                <w:sz w:val="20"/>
                <w:szCs w:val="20"/>
              </w:rPr>
              <w:t>./</w:t>
            </w:r>
            <w:proofErr w:type="gramEnd"/>
            <w:r>
              <w:rPr>
                <w:color w:val="000000"/>
                <w:sz w:val="20"/>
                <w:szCs w:val="20"/>
              </w:rPr>
              <w:t>ft.) (Maximum 0.02)</w:t>
            </w:r>
          </w:p>
        </w:tc>
        <w:tc>
          <w:tcPr>
            <w:tcW w:w="1460" w:type="dxa"/>
          </w:tcPr>
          <w:p w:rsidR="008A76C6" w:rsidRDefault="00B50B31">
            <w:pPr>
              <w:widowControl w:val="0"/>
              <w:autoSpaceDE w:val="0"/>
              <w:autoSpaceDN w:val="0"/>
              <w:adjustRightInd w:val="0"/>
              <w:jc w:val="center"/>
              <w:rPr>
                <w:color w:val="000000"/>
                <w:sz w:val="20"/>
                <w:szCs w:val="20"/>
              </w:rPr>
            </w:pPr>
            <w:r>
              <w:rPr>
                <w:color w:val="000000"/>
                <w:sz w:val="20"/>
                <w:szCs w:val="20"/>
              </w:rPr>
              <w:t>Existing</w:t>
            </w:r>
            <w:r w:rsidR="008A76C6">
              <w:rPr>
                <w:color w:val="000000"/>
                <w:sz w:val="20"/>
                <w:szCs w:val="20"/>
              </w:rPr>
              <w:t xml:space="preserve"> </w:t>
            </w:r>
          </w:p>
        </w:tc>
        <w:tc>
          <w:tcPr>
            <w:tcW w:w="1460" w:type="dxa"/>
          </w:tcPr>
          <w:p w:rsidR="008A76C6" w:rsidRDefault="00B50B31">
            <w:pPr>
              <w:widowControl w:val="0"/>
              <w:autoSpaceDE w:val="0"/>
              <w:autoSpaceDN w:val="0"/>
              <w:adjustRightInd w:val="0"/>
              <w:jc w:val="center"/>
              <w:rPr>
                <w:color w:val="000000"/>
                <w:sz w:val="20"/>
                <w:szCs w:val="20"/>
              </w:rPr>
            </w:pPr>
            <w:r>
              <w:rPr>
                <w:color w:val="000000"/>
                <w:sz w:val="20"/>
                <w:szCs w:val="20"/>
              </w:rPr>
              <w:t>Existing</w:t>
            </w:r>
            <w:r w:rsidR="008A76C6">
              <w:rPr>
                <w:color w:val="000000"/>
                <w:sz w:val="20"/>
                <w:szCs w:val="20"/>
              </w:rPr>
              <w:t xml:space="preserve"> </w:t>
            </w:r>
          </w:p>
        </w:tc>
        <w:tc>
          <w:tcPr>
            <w:tcW w:w="1460" w:type="dxa"/>
          </w:tcPr>
          <w:p w:rsidR="008A76C6" w:rsidRDefault="00B50B31">
            <w:pPr>
              <w:widowControl w:val="0"/>
              <w:autoSpaceDE w:val="0"/>
              <w:autoSpaceDN w:val="0"/>
              <w:adjustRightInd w:val="0"/>
              <w:jc w:val="center"/>
              <w:rPr>
                <w:color w:val="000000"/>
                <w:sz w:val="20"/>
                <w:szCs w:val="20"/>
              </w:rPr>
            </w:pPr>
            <w:r>
              <w:rPr>
                <w:color w:val="000000"/>
                <w:sz w:val="20"/>
                <w:szCs w:val="20"/>
              </w:rPr>
              <w:t>Existing</w:t>
            </w:r>
            <w:r w:rsidR="008A76C6">
              <w:rPr>
                <w:color w:val="000000"/>
                <w:sz w:val="20"/>
                <w:szCs w:val="20"/>
              </w:rPr>
              <w:t xml:space="preserve"> </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r>
              <w:rPr>
                <w:color w:val="000000"/>
                <w:sz w:val="20"/>
                <w:szCs w:val="20"/>
              </w:rPr>
              <w:t>Maximum Superelevation (ft</w:t>
            </w:r>
            <w:proofErr w:type="gramStart"/>
            <w:r>
              <w:rPr>
                <w:color w:val="000000"/>
                <w:sz w:val="20"/>
                <w:szCs w:val="20"/>
              </w:rPr>
              <w:t>./</w:t>
            </w:r>
            <w:proofErr w:type="gramEnd"/>
            <w:r>
              <w:rPr>
                <w:color w:val="000000"/>
                <w:sz w:val="20"/>
                <w:szCs w:val="20"/>
              </w:rPr>
              <w:t>ft.)</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0.08</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0.08</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0.08</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r>
              <w:rPr>
                <w:color w:val="000000"/>
                <w:sz w:val="20"/>
                <w:szCs w:val="20"/>
              </w:rPr>
              <w:t>Horizontal Clearance (ft.) (5)</w:t>
            </w:r>
          </w:p>
          <w:p w:rsidR="008A76C6" w:rsidRDefault="008A76C6">
            <w:pPr>
              <w:widowControl w:val="0"/>
              <w:autoSpaceDE w:val="0"/>
              <w:autoSpaceDN w:val="0"/>
              <w:adjustRightInd w:val="0"/>
              <w:rPr>
                <w:color w:val="000000"/>
                <w:sz w:val="20"/>
                <w:szCs w:val="20"/>
              </w:rPr>
            </w:pPr>
            <w:r>
              <w:rPr>
                <w:color w:val="000000"/>
                <w:sz w:val="20"/>
                <w:szCs w:val="20"/>
              </w:rPr>
              <w:t xml:space="preserve">     (From edge of traveled way)</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14.00</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12.00</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10.00</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r>
              <w:rPr>
                <w:color w:val="000000"/>
                <w:sz w:val="20"/>
                <w:szCs w:val="20"/>
              </w:rPr>
              <w:t>Vertical Clearance (ft.)</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14.00</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14.00</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14.00</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r>
              <w:rPr>
                <w:color w:val="000000"/>
                <w:sz w:val="20"/>
                <w:szCs w:val="20"/>
              </w:rPr>
              <w:t>Fill Slopes (6)</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Existing</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Existing</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Existing</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r>
              <w:rPr>
                <w:color w:val="000000"/>
                <w:sz w:val="20"/>
                <w:szCs w:val="20"/>
              </w:rPr>
              <w:t>Guardrail</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(7)</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(7)</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(7)</w:t>
            </w:r>
          </w:p>
        </w:tc>
      </w:tr>
      <w:tr w:rsidR="008A76C6">
        <w:tblPrEx>
          <w:tblCellMar>
            <w:top w:w="0" w:type="dxa"/>
            <w:bottom w:w="0" w:type="dxa"/>
          </w:tblCellMar>
        </w:tblPrEx>
        <w:trPr>
          <w:jc w:val="center"/>
        </w:trPr>
        <w:tc>
          <w:tcPr>
            <w:tcW w:w="5103" w:type="dxa"/>
          </w:tcPr>
          <w:p w:rsidR="008A76C6" w:rsidRDefault="008A76C6">
            <w:pPr>
              <w:widowControl w:val="0"/>
              <w:autoSpaceDE w:val="0"/>
              <w:autoSpaceDN w:val="0"/>
              <w:adjustRightInd w:val="0"/>
              <w:rPr>
                <w:color w:val="000000"/>
                <w:sz w:val="20"/>
                <w:szCs w:val="20"/>
              </w:rPr>
            </w:pPr>
            <w:r>
              <w:rPr>
                <w:color w:val="000000"/>
                <w:sz w:val="20"/>
                <w:szCs w:val="20"/>
              </w:rPr>
              <w:t>Bridges (8)</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(8)</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(8)</w:t>
            </w:r>
          </w:p>
        </w:tc>
        <w:tc>
          <w:tcPr>
            <w:tcW w:w="1460" w:type="dxa"/>
          </w:tcPr>
          <w:p w:rsidR="008A76C6" w:rsidRDefault="008A76C6">
            <w:pPr>
              <w:widowControl w:val="0"/>
              <w:autoSpaceDE w:val="0"/>
              <w:autoSpaceDN w:val="0"/>
              <w:adjustRightInd w:val="0"/>
              <w:jc w:val="center"/>
              <w:rPr>
                <w:color w:val="000000"/>
                <w:sz w:val="20"/>
                <w:szCs w:val="20"/>
              </w:rPr>
            </w:pPr>
            <w:r>
              <w:rPr>
                <w:color w:val="000000"/>
                <w:sz w:val="20"/>
                <w:szCs w:val="20"/>
              </w:rPr>
              <w:t>(8)</w:t>
            </w:r>
          </w:p>
        </w:tc>
      </w:tr>
    </w:tbl>
    <w:p w:rsidR="008A76C6" w:rsidRDefault="008A76C6">
      <w:pPr>
        <w:widowControl w:val="0"/>
        <w:tabs>
          <w:tab w:val="left" w:pos="1440"/>
          <w:tab w:val="left" w:pos="1800"/>
          <w:tab w:val="left" w:pos="2160"/>
          <w:tab w:val="left" w:pos="2520"/>
          <w:tab w:val="center" w:pos="2880"/>
          <w:tab w:val="left" w:pos="3240"/>
          <w:tab w:val="left" w:pos="3600"/>
          <w:tab w:val="right" w:pos="10080"/>
        </w:tabs>
        <w:autoSpaceDE w:val="0"/>
        <w:autoSpaceDN w:val="0"/>
        <w:adjustRightInd w:val="0"/>
        <w:ind w:left="1440" w:hanging="1440"/>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jc w:val="center"/>
        <w:rPr>
          <w:color w:val="000000"/>
          <w:sz w:val="20"/>
          <w:szCs w:val="20"/>
        </w:rPr>
      </w:pPr>
      <w:r>
        <w:rPr>
          <w:b/>
          <w:bCs/>
          <w:color w:val="000000"/>
          <w:sz w:val="20"/>
          <w:szCs w:val="20"/>
        </w:rPr>
        <w:t>RURAL DESIGN CRITERIA - RESURFACING,</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jc w:val="center"/>
        <w:rPr>
          <w:color w:val="000000"/>
          <w:sz w:val="20"/>
          <w:szCs w:val="20"/>
        </w:rPr>
      </w:pPr>
      <w:r>
        <w:rPr>
          <w:b/>
          <w:bCs/>
          <w:color w:val="000000"/>
          <w:sz w:val="20"/>
          <w:szCs w:val="20"/>
        </w:rPr>
        <w:t>RESTORATION &amp; REHABILITATION (3R) PROJECTS</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jc w:val="center"/>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(1)</w:t>
      </w:r>
      <w:r>
        <w:rPr>
          <w:color w:val="000000"/>
          <w:sz w:val="20"/>
          <w:szCs w:val="20"/>
        </w:rPr>
        <w:tab/>
        <w:t>Increase to 12 ft. on designated truck routes and other roads where trucks are 10 percent or more of average daily traffic.</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(2)</w:t>
      </w:r>
      <w:r>
        <w:rPr>
          <w:color w:val="000000"/>
          <w:sz w:val="20"/>
          <w:szCs w:val="20"/>
        </w:rPr>
        <w:tab/>
        <w:t>Increase 1 ft. when trucks are 10 percent or more of average daily traffic.  Minimum median shoulder width shall be 3 ft. for divided pavement.</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(3)</w:t>
      </w:r>
      <w:r>
        <w:rPr>
          <w:color w:val="000000"/>
          <w:sz w:val="20"/>
          <w:szCs w:val="20"/>
        </w:rPr>
        <w:tab/>
        <w:t>Increase 2 ft</w:t>
      </w:r>
      <w:r w:rsidR="00502F15">
        <w:rPr>
          <w:color w:val="000000"/>
          <w:sz w:val="20"/>
          <w:szCs w:val="20"/>
        </w:rPr>
        <w:t>.</w:t>
      </w:r>
      <w:bookmarkStart w:id="0" w:name="_GoBack"/>
      <w:bookmarkEnd w:id="0"/>
      <w:r>
        <w:rPr>
          <w:color w:val="000000"/>
          <w:sz w:val="20"/>
          <w:szCs w:val="20"/>
        </w:rPr>
        <w:t xml:space="preserve"> when lane width is 12 f</w:t>
      </w:r>
      <w:r w:rsidR="00502F15">
        <w:rPr>
          <w:color w:val="000000"/>
          <w:sz w:val="20"/>
          <w:szCs w:val="20"/>
        </w:rPr>
        <w:t>ee</w:t>
      </w:r>
      <w:r>
        <w:rPr>
          <w:color w:val="000000"/>
          <w:sz w:val="20"/>
          <w:szCs w:val="20"/>
        </w:rPr>
        <w:t xml:space="preserve">t. </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(4)</w:t>
      </w:r>
      <w:r>
        <w:rPr>
          <w:color w:val="000000"/>
          <w:sz w:val="20"/>
          <w:szCs w:val="20"/>
        </w:rPr>
        <w:tab/>
        <w:t xml:space="preserve">If design traffic is less than 1700 vehicles per day, existing horizontal curves of 40 mph design, with proper </w:t>
      </w:r>
      <w:proofErr w:type="spellStart"/>
      <w:r>
        <w:rPr>
          <w:color w:val="000000"/>
          <w:sz w:val="20"/>
          <w:szCs w:val="20"/>
        </w:rPr>
        <w:t>superelevation</w:t>
      </w:r>
      <w:proofErr w:type="spellEnd"/>
      <w:r>
        <w:rPr>
          <w:color w:val="000000"/>
          <w:sz w:val="20"/>
          <w:szCs w:val="20"/>
        </w:rPr>
        <w:t>, may be retained if advisory speed signs are placed according to the Manual on Uniform Traffic Control Devices (MUTCD).</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ab/>
        <w:t xml:space="preserve">If design traffic exceeds 1700 vehicles per day, consider realigning curves of less than 45 mph design if warranted by accident studies and realignment is feasible and economically justified.  Existing curves of 45 mph design, with proper </w:t>
      </w:r>
      <w:proofErr w:type="spellStart"/>
      <w:r>
        <w:rPr>
          <w:color w:val="000000"/>
          <w:sz w:val="20"/>
          <w:szCs w:val="20"/>
        </w:rPr>
        <w:t>superelevation</w:t>
      </w:r>
      <w:proofErr w:type="spellEnd"/>
      <w:r>
        <w:rPr>
          <w:color w:val="000000"/>
          <w:sz w:val="20"/>
          <w:szCs w:val="20"/>
        </w:rPr>
        <w:t>, may be retained if advisory speed signs are placed according to the MUTCD.</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(5)</w:t>
      </w:r>
      <w:r>
        <w:rPr>
          <w:color w:val="000000"/>
          <w:sz w:val="20"/>
          <w:szCs w:val="20"/>
        </w:rPr>
        <w:tab/>
        <w:t>Culvert headwalls located beyond minimum design shoulder width may remain in place.  Any headwalls located within the clear zone limits must be shown as a design exception.  Mailbox installations are treated as described in Section 645.</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(6)</w:t>
      </w:r>
      <w:r>
        <w:rPr>
          <w:color w:val="000000"/>
          <w:sz w:val="20"/>
          <w:szCs w:val="20"/>
        </w:rPr>
        <w:tab/>
        <w:t>Retain current fill slopes, except at locations where it is determined by an analysis of accidents or other circumstances that flatter slopes are warranted and feasible.</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(7)</w:t>
      </w:r>
      <w:r>
        <w:rPr>
          <w:color w:val="000000"/>
          <w:sz w:val="20"/>
          <w:szCs w:val="20"/>
        </w:rPr>
        <w:tab/>
        <w:t xml:space="preserve">Refer to </w:t>
      </w:r>
      <w:r w:rsidR="00B50B31">
        <w:rPr>
          <w:color w:val="000000"/>
          <w:sz w:val="20"/>
          <w:szCs w:val="20"/>
        </w:rPr>
        <w:t>EPG</w:t>
      </w:r>
      <w:r>
        <w:rPr>
          <w:color w:val="000000"/>
          <w:sz w:val="20"/>
          <w:szCs w:val="20"/>
        </w:rPr>
        <w:t xml:space="preserve"> 606.1 for upgrading guardrail criteria.</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(8)</w:t>
      </w:r>
      <w:r>
        <w:rPr>
          <w:color w:val="000000"/>
          <w:sz w:val="20"/>
          <w:szCs w:val="20"/>
        </w:rPr>
        <w:tab/>
        <w:t>Bridges must be capable of carrying legal loads without posting.  Bridges that are located within the state's commercial zones and are posted for 40 tons or greater will be acceptable.</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ab/>
        <w:t>Minimum bridge width will equal the width of approach lanes for design traffic less than 1700 ADT and the width of approach lanes plus 2 ft. for design traffic greater than 1700 ADT.</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ab/>
        <w:t xml:space="preserve">The following railing types:  safety barrier curbs, </w:t>
      </w:r>
      <w:proofErr w:type="spellStart"/>
      <w:r>
        <w:rPr>
          <w:color w:val="000000"/>
          <w:sz w:val="20"/>
          <w:szCs w:val="20"/>
        </w:rPr>
        <w:t>thrie</w:t>
      </w:r>
      <w:proofErr w:type="spellEnd"/>
      <w:r>
        <w:rPr>
          <w:color w:val="000000"/>
          <w:sz w:val="20"/>
          <w:szCs w:val="20"/>
        </w:rPr>
        <w:t xml:space="preserve"> beam bridge rails and 6 in. brush curbs (with modifications if necessary) will be acceptable for retention on 3R projects.</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ab/>
        <w:t>Exceptions may be considered for the retention of other railing types on a case-by-case basis.  Considerations will be based on traffic, posted speed, accident history and type of existing railing.  Use-in-place bridge railings shall comply with AASHTO standards for railing heights.</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ab/>
        <w:t xml:space="preserve">Standard bridge anchor sections and Type </w:t>
      </w:r>
      <w:proofErr w:type="gramStart"/>
      <w:r>
        <w:rPr>
          <w:color w:val="000000"/>
          <w:sz w:val="20"/>
          <w:szCs w:val="20"/>
        </w:rPr>
        <w:t>A</w:t>
      </w:r>
      <w:proofErr w:type="gramEnd"/>
      <w:r>
        <w:rPr>
          <w:color w:val="000000"/>
          <w:sz w:val="20"/>
          <w:szCs w:val="20"/>
        </w:rPr>
        <w:t xml:space="preserve"> crashworthy end terminals shall be provided at bridge ends.</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line="230" w:lineRule="exact"/>
        <w:ind w:left="720" w:hanging="720"/>
        <w:jc w:val="both"/>
        <w:rPr>
          <w:color w:val="000000"/>
          <w:sz w:val="20"/>
          <w:szCs w:val="20"/>
        </w:rPr>
      </w:pPr>
      <w:r>
        <w:rPr>
          <w:color w:val="000000"/>
          <w:sz w:val="20"/>
          <w:szCs w:val="20"/>
        </w:rPr>
        <w:tab/>
        <w:t xml:space="preserve">Bridges that are programmed for major rehabilitation or replacement may be allowed to remain-in-place as is, unless narrower than the </w:t>
      </w:r>
      <w:proofErr w:type="spellStart"/>
      <w:r>
        <w:rPr>
          <w:color w:val="000000"/>
          <w:sz w:val="20"/>
          <w:szCs w:val="20"/>
        </w:rPr>
        <w:t>travelway</w:t>
      </w:r>
      <w:proofErr w:type="spellEnd"/>
      <w:r>
        <w:rPr>
          <w:color w:val="000000"/>
          <w:sz w:val="20"/>
          <w:szCs w:val="20"/>
        </w:rPr>
        <w:t xml:space="preserve">.  Bridges meeting </w:t>
      </w:r>
      <w:proofErr w:type="gramStart"/>
      <w:r>
        <w:rPr>
          <w:color w:val="000000"/>
          <w:sz w:val="20"/>
          <w:szCs w:val="20"/>
        </w:rPr>
        <w:t>this criteria</w:t>
      </w:r>
      <w:proofErr w:type="gramEnd"/>
      <w:r>
        <w:rPr>
          <w:color w:val="000000"/>
          <w:sz w:val="20"/>
          <w:szCs w:val="20"/>
        </w:rPr>
        <w:t xml:space="preserve"> must be shown as a design exception.</w:t>
      </w:r>
    </w:p>
    <w:p w:rsidR="008A76C6" w:rsidRDefault="008A76C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ind w:left="720" w:hanging="720"/>
        <w:jc w:val="both"/>
        <w:rPr>
          <w:color w:val="000000"/>
          <w:sz w:val="20"/>
          <w:szCs w:val="20"/>
        </w:rPr>
      </w:pPr>
    </w:p>
    <w:sectPr w:rsidR="008A76C6">
      <w:footerReference w:type="default" r:id="rId7"/>
      <w:type w:val="continuous"/>
      <w:pgSz w:w="12240" w:h="15840"/>
      <w:pgMar w:top="1584" w:right="1080" w:bottom="1656" w:left="1080" w:header="43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6C6" w:rsidRDefault="008A76C6">
      <w:r>
        <w:separator/>
      </w:r>
    </w:p>
  </w:endnote>
  <w:endnote w:type="continuationSeparator" w:id="0">
    <w:p w:rsidR="008A76C6" w:rsidRDefault="008A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6C6" w:rsidRDefault="008A76C6">
    <w:pPr>
      <w:widowControl w:val="0"/>
      <w:tabs>
        <w:tab w:val="center" w:pos="5040"/>
        <w:tab w:val="right" w:pos="10080"/>
      </w:tabs>
      <w:autoSpaceDE w:val="0"/>
      <w:autoSpaceDN w:val="0"/>
      <w:adjustRightInd w:val="0"/>
      <w:spacing w:line="240" w:lineRule="exact"/>
      <w:rPr>
        <w:color w:val="000000"/>
        <w:sz w:val="20"/>
        <w:szCs w:val="20"/>
      </w:rPr>
    </w:pPr>
    <w:r>
      <w:rPr>
        <w:color w:val="000000"/>
        <w:sz w:val="20"/>
        <w:szCs w:val="20"/>
      </w:rPr>
      <w:tab/>
    </w:r>
    <w:r>
      <w:rPr>
        <w:b/>
        <w:bCs/>
        <w:color w:val="000000"/>
        <w:sz w:val="20"/>
        <w:szCs w:val="20"/>
      </w:rPr>
      <w:t>3R Design Criteria (Rural)</w:t>
    </w:r>
  </w:p>
  <w:p w:rsidR="008A76C6" w:rsidRDefault="008A76C6">
    <w:pPr>
      <w:widowControl w:val="0"/>
      <w:tabs>
        <w:tab w:val="center" w:pos="5040"/>
        <w:tab w:val="right" w:pos="10080"/>
      </w:tabs>
      <w:autoSpaceDE w:val="0"/>
      <w:autoSpaceDN w:val="0"/>
      <w:adjustRightInd w:val="0"/>
      <w:spacing w:line="240" w:lineRule="exact"/>
      <w:rPr>
        <w:color w:val="000000"/>
        <w:sz w:val="20"/>
        <w:szCs w:val="20"/>
      </w:rPr>
    </w:pPr>
  </w:p>
  <w:p w:rsidR="008A76C6" w:rsidRDefault="008A76C6">
    <w:pPr>
      <w:widowControl w:val="0"/>
      <w:tabs>
        <w:tab w:val="center" w:pos="5040"/>
        <w:tab w:val="right" w:pos="10080"/>
      </w:tabs>
      <w:autoSpaceDE w:val="0"/>
      <w:autoSpaceDN w:val="0"/>
      <w:adjustRightInd w:val="0"/>
      <w:spacing w:line="240" w:lineRule="exact"/>
      <w:rPr>
        <w:color w:val="000000"/>
        <w:sz w:val="20"/>
        <w:szCs w:val="20"/>
      </w:rPr>
    </w:pPr>
    <w:r>
      <w:rPr>
        <w:color w:val="000000"/>
        <w:sz w:val="20"/>
        <w:szCs w:val="20"/>
      </w:rPr>
      <w:tab/>
    </w:r>
    <w:r>
      <w:rPr>
        <w:color w:val="000000"/>
        <w:sz w:val="20"/>
        <w:szCs w:val="20"/>
      </w:rPr>
      <w:tab/>
      <w:t xml:space="preserve">Rev. </w:t>
    </w:r>
    <w:r w:rsidR="00502F15">
      <w:rPr>
        <w:color w:val="000000"/>
        <w:sz w:val="20"/>
        <w:szCs w:val="20"/>
      </w:rPr>
      <w:t>4</w:t>
    </w:r>
    <w:r>
      <w:rPr>
        <w:color w:val="000000"/>
        <w:sz w:val="20"/>
        <w:szCs w:val="20"/>
      </w:rPr>
      <w:t>-</w:t>
    </w:r>
    <w:r w:rsidR="00B50B31">
      <w:rPr>
        <w:color w:val="000000"/>
        <w:sz w:val="20"/>
        <w:szCs w:val="20"/>
      </w:rPr>
      <w:t>2</w:t>
    </w:r>
    <w:r>
      <w:rPr>
        <w:color w:val="000000"/>
        <w:sz w:val="20"/>
        <w:szCs w:val="20"/>
      </w:rPr>
      <w:t>-</w:t>
    </w:r>
    <w:r w:rsidR="00B50B31">
      <w:rPr>
        <w:color w:val="000000"/>
        <w:sz w:val="20"/>
        <w:szCs w:val="20"/>
      </w:rPr>
      <w:t>1</w:t>
    </w:r>
    <w:r w:rsidR="00502F15">
      <w:rPr>
        <w:color w:val="000000"/>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6C6" w:rsidRDefault="008A76C6">
      <w:r>
        <w:separator/>
      </w:r>
    </w:p>
  </w:footnote>
  <w:footnote w:type="continuationSeparator" w:id="0">
    <w:p w:rsidR="008A76C6" w:rsidRDefault="008A7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B31"/>
    <w:rsid w:val="00502F15"/>
    <w:rsid w:val="008A76C6"/>
    <w:rsid w:val="00B5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B50B31"/>
    <w:rPr>
      <w:rFonts w:ascii="Tahoma" w:hAnsi="Tahoma" w:cs="Tahoma"/>
      <w:sz w:val="16"/>
      <w:szCs w:val="16"/>
    </w:rPr>
  </w:style>
  <w:style w:type="character" w:customStyle="1" w:styleId="BalloonTextChar">
    <w:name w:val="Balloon Text Char"/>
    <w:basedOn w:val="DefaultParagraphFont"/>
    <w:link w:val="BalloonText"/>
    <w:uiPriority w:val="99"/>
    <w:semiHidden/>
    <w:rsid w:val="00B50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B50B31"/>
    <w:rPr>
      <w:rFonts w:ascii="Tahoma" w:hAnsi="Tahoma" w:cs="Tahoma"/>
      <w:sz w:val="16"/>
      <w:szCs w:val="16"/>
    </w:rPr>
  </w:style>
  <w:style w:type="character" w:customStyle="1" w:styleId="BalloonTextChar">
    <w:name w:val="Balloon Text Char"/>
    <w:basedOn w:val="DefaultParagraphFont"/>
    <w:link w:val="BalloonText"/>
    <w:uiPriority w:val="99"/>
    <w:semiHidden/>
    <w:rsid w:val="00B50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MINIMUM RURAL DESIGN STANDARDS - RESURFACING,</vt:lpstr>
    </vt:vector>
  </TitlesOfParts>
  <Company>MoDOT</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RURAL DESIGN STANDARDS - RESURFACING,</dc:title>
  <dc:creator>Jessica E. Mackey</dc:creator>
  <cp:lastModifiedBy>Keith Smith</cp:lastModifiedBy>
  <cp:revision>2</cp:revision>
  <cp:lastPrinted>2010-03-26T13:12:00Z</cp:lastPrinted>
  <dcterms:created xsi:type="dcterms:W3CDTF">2013-04-02T15:32:00Z</dcterms:created>
  <dcterms:modified xsi:type="dcterms:W3CDTF">2013-04-02T15:32:00Z</dcterms:modified>
</cp:coreProperties>
</file>