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BFE" w:rsidRPr="00CF4F61" w:rsidRDefault="00EE5BFE" w:rsidP="00EE5BFE">
      <w:pPr>
        <w:pStyle w:val="Heading1"/>
        <w:jc w:val="center"/>
        <w:rPr>
          <w:color w:val="FF0000"/>
        </w:rPr>
      </w:pPr>
      <w:r>
        <w:rPr>
          <w:color w:val="FF0000"/>
        </w:rPr>
        <w:t>Fig. 806.8.15</w:t>
      </w:r>
    </w:p>
    <w:p w:rsidR="00EE5BFE" w:rsidRPr="00AE53E7" w:rsidRDefault="00EE5BFE" w:rsidP="00EE5BFE">
      <w:pPr>
        <w:pStyle w:val="NormalWeb"/>
        <w:spacing w:before="0" w:beforeAutospacing="0" w:after="0" w:afterAutospacing="0"/>
        <w:jc w:val="center"/>
        <w:rPr>
          <w:color w:val="FF0000"/>
        </w:rPr>
      </w:pPr>
    </w:p>
    <w:p w:rsidR="00EE5BFE" w:rsidRDefault="00EE5BFE" w:rsidP="00EE5BFE">
      <w:pPr>
        <w:jc w:val="center"/>
        <w:rPr>
          <w:color w:val="FF0000"/>
        </w:rPr>
      </w:pPr>
      <w:proofErr w:type="spellStart"/>
      <w:r>
        <w:rPr>
          <w:color w:val="FF0000"/>
        </w:rPr>
        <w:t>Imhoff</w:t>
      </w:r>
      <w:proofErr w:type="spellEnd"/>
      <w:r>
        <w:rPr>
          <w:color w:val="FF0000"/>
        </w:rPr>
        <w:t xml:space="preserve"> Cone &amp; Turbidity Tube Testing Procedures</w:t>
      </w:r>
    </w:p>
    <w:p w:rsidR="00EE5BFE" w:rsidRDefault="00EE5BFE" w:rsidP="00EE5BFE">
      <w:pPr>
        <w:jc w:val="center"/>
        <w:rPr>
          <w:color w:val="FF0000"/>
        </w:rPr>
      </w:pPr>
    </w:p>
    <w:p w:rsidR="00EE5BFE" w:rsidRDefault="00EE5BFE" w:rsidP="00EE5BFE">
      <w:pPr>
        <w:rPr>
          <w:color w:val="FF0000"/>
        </w:rPr>
        <w:sectPr w:rsidR="00EE5BFE" w:rsidSect="001A54EB">
          <w:footerReference w:type="even" r:id="rId7"/>
          <w:footerReference w:type="default" r:id="rId8"/>
          <w:pgSz w:w="12240" w:h="15840"/>
          <w:pgMar w:top="1008" w:right="1800" w:bottom="1008" w:left="1800" w:header="720" w:footer="720" w:gutter="0"/>
          <w:cols w:space="720"/>
          <w:docGrid w:linePitch="360"/>
        </w:sectPr>
      </w:pPr>
      <w:r>
        <w:rPr>
          <w:color w:val="FF0000"/>
        </w:rPr>
        <w:t xml:space="preserve">(Note:  The current MoDOT state operating permit for land disturbance does not require sampling of either </w:t>
      </w:r>
      <w:proofErr w:type="spellStart"/>
      <w:r>
        <w:rPr>
          <w:color w:val="FF0000"/>
        </w:rPr>
        <w:t>settleable</w:t>
      </w:r>
      <w:proofErr w:type="spellEnd"/>
      <w:r>
        <w:rPr>
          <w:color w:val="FF0000"/>
        </w:rPr>
        <w:t xml:space="preserve"> solids or turbidity.)</w:t>
      </w:r>
    </w:p>
    <w:p w:rsidR="00EE5BFE" w:rsidRDefault="00EE5BFE" w:rsidP="00EE5BFE">
      <w:pPr>
        <w:pStyle w:val="NormalWeb"/>
        <w:spacing w:before="0" w:beforeAutospacing="0" w:after="0" w:afterAutospacing="0"/>
        <w:jc w:val="center"/>
        <w:rPr>
          <w:color w:val="FF0000"/>
        </w:rPr>
      </w:pPr>
    </w:p>
    <w:p w:rsidR="00EE5BFE" w:rsidRDefault="00EE5BFE" w:rsidP="00EE5BFE">
      <w:pPr>
        <w:rPr>
          <w:color w:val="FF0000"/>
        </w:rPr>
        <w:sectPr w:rsidR="00EE5BFE" w:rsidSect="00F655E5">
          <w:pgSz w:w="12240" w:h="15840"/>
          <w:pgMar w:top="288" w:right="720" w:bottom="302" w:left="720" w:header="720" w:footer="720" w:gutter="0"/>
          <w:cols w:space="720"/>
          <w:docGrid w:linePitch="360"/>
        </w:sectPr>
      </w:pPr>
      <w:r>
        <w:rPr>
          <w:color w:val="FF0000"/>
        </w:rPr>
        <w:br w:type="page"/>
      </w:r>
    </w:p>
    <w:p w:rsidR="00EE5BFE" w:rsidRDefault="00EE5BFE" w:rsidP="00EE5BFE">
      <w:pPr>
        <w:jc w:val="center"/>
        <w:rPr>
          <w:b/>
          <w:u w:val="single"/>
        </w:rPr>
      </w:pPr>
      <w:proofErr w:type="spellStart"/>
      <w:r w:rsidRPr="00E740E2">
        <w:rPr>
          <w:b/>
          <w:u w:val="single"/>
        </w:rPr>
        <w:lastRenderedPageBreak/>
        <w:t>Imhoff</w:t>
      </w:r>
      <w:proofErr w:type="spellEnd"/>
      <w:r w:rsidRPr="00E740E2">
        <w:rPr>
          <w:b/>
          <w:u w:val="single"/>
        </w:rPr>
        <w:t xml:space="preserve"> Cone Testing Procedure for </w:t>
      </w:r>
      <w:proofErr w:type="spellStart"/>
      <w:r w:rsidRPr="00E740E2">
        <w:rPr>
          <w:b/>
          <w:u w:val="single"/>
        </w:rPr>
        <w:t>Settleable</w:t>
      </w:r>
      <w:proofErr w:type="spellEnd"/>
      <w:r w:rsidRPr="00E740E2">
        <w:rPr>
          <w:b/>
          <w:u w:val="single"/>
        </w:rPr>
        <w:t xml:space="preserve"> Solids</w:t>
      </w:r>
    </w:p>
    <w:p w:rsidR="00EE5BFE" w:rsidRPr="001B3FD8" w:rsidRDefault="00EE5BFE" w:rsidP="00EE5BFE">
      <w:pPr>
        <w:jc w:val="center"/>
      </w:pPr>
      <w:r>
        <w:t xml:space="preserve">(Developed by the Nebraska WEA, </w:t>
      </w:r>
      <w:r w:rsidRPr="001B3FD8">
        <w:t>http://www.ne-wea.org/LabManual/settleable_solids.htm</w:t>
      </w:r>
      <w:r>
        <w:t>)</w:t>
      </w:r>
    </w:p>
    <w:p w:rsidR="00EE5BFE" w:rsidRPr="00CC659B" w:rsidRDefault="00EE5BFE" w:rsidP="00EE5BFE">
      <w:pPr>
        <w:spacing w:before="100" w:beforeAutospacing="1" w:after="100" w:afterAutospacing="1"/>
        <w:rPr>
          <w:b/>
          <w:szCs w:val="23"/>
        </w:rPr>
      </w:pPr>
      <w:bookmarkStart w:id="0" w:name="_Toc487516415"/>
      <w:r w:rsidRPr="00CC659B">
        <w:rPr>
          <w:b/>
          <w:bCs/>
          <w:szCs w:val="23"/>
        </w:rPr>
        <w:t>Procedure</w:t>
      </w:r>
      <w:bookmarkEnd w:id="0"/>
    </w:p>
    <w:p w:rsidR="00EE5BFE" w:rsidRPr="00E740E2" w:rsidRDefault="00EE5BFE" w:rsidP="00EE5BFE">
      <w:pPr>
        <w:numPr>
          <w:ilvl w:val="0"/>
          <w:numId w:val="1"/>
        </w:numPr>
        <w:spacing w:before="100" w:beforeAutospacing="1" w:after="100" w:afterAutospacing="1"/>
        <w:rPr>
          <w:szCs w:val="23"/>
        </w:rPr>
      </w:pPr>
      <w:r w:rsidRPr="00E740E2">
        <w:rPr>
          <w:bCs/>
          <w:szCs w:val="23"/>
        </w:rPr>
        <w:t xml:space="preserve">Fill an </w:t>
      </w:r>
      <w:proofErr w:type="spellStart"/>
      <w:r w:rsidRPr="00E740E2">
        <w:rPr>
          <w:bCs/>
          <w:szCs w:val="23"/>
        </w:rPr>
        <w:t>Imhoff</w:t>
      </w:r>
      <w:proofErr w:type="spellEnd"/>
      <w:r w:rsidRPr="00E740E2">
        <w:rPr>
          <w:bCs/>
          <w:szCs w:val="23"/>
        </w:rPr>
        <w:t xml:space="preserve"> cone to the one-liter mark with a well mixed sample.</w:t>
      </w:r>
      <w:r w:rsidRPr="00E740E2">
        <w:rPr>
          <w:szCs w:val="23"/>
        </w:rPr>
        <w:t xml:space="preserve"> </w:t>
      </w:r>
    </w:p>
    <w:p w:rsidR="00EE5BFE" w:rsidRPr="00E740E2" w:rsidRDefault="00EE5BFE" w:rsidP="00EE5BFE">
      <w:pPr>
        <w:numPr>
          <w:ilvl w:val="0"/>
          <w:numId w:val="1"/>
        </w:numPr>
        <w:spacing w:before="100" w:beforeAutospacing="1" w:after="100" w:afterAutospacing="1"/>
        <w:rPr>
          <w:szCs w:val="23"/>
        </w:rPr>
      </w:pPr>
      <w:r w:rsidRPr="00E740E2">
        <w:rPr>
          <w:bCs/>
          <w:szCs w:val="23"/>
        </w:rPr>
        <w:t xml:space="preserve">Allow sample to settle in the </w:t>
      </w:r>
      <w:proofErr w:type="spellStart"/>
      <w:r w:rsidRPr="00E740E2">
        <w:rPr>
          <w:bCs/>
          <w:szCs w:val="23"/>
        </w:rPr>
        <w:t>Imhoff</w:t>
      </w:r>
      <w:proofErr w:type="spellEnd"/>
      <w:r w:rsidRPr="00E740E2">
        <w:rPr>
          <w:bCs/>
          <w:szCs w:val="23"/>
        </w:rPr>
        <w:t xml:space="preserve"> cone for 45 minutes.</w:t>
      </w:r>
      <w:r w:rsidRPr="00E740E2">
        <w:rPr>
          <w:szCs w:val="23"/>
        </w:rPr>
        <w:t xml:space="preserve"> </w:t>
      </w:r>
    </w:p>
    <w:p w:rsidR="00EE5BFE" w:rsidRPr="00E740E2" w:rsidRDefault="00EE5BFE" w:rsidP="00EE5BFE">
      <w:pPr>
        <w:numPr>
          <w:ilvl w:val="0"/>
          <w:numId w:val="1"/>
        </w:numPr>
        <w:spacing w:before="100" w:beforeAutospacing="1" w:after="100" w:afterAutospacing="1"/>
        <w:rPr>
          <w:szCs w:val="23"/>
        </w:rPr>
      </w:pPr>
      <w:r w:rsidRPr="00E740E2">
        <w:rPr>
          <w:bCs/>
          <w:szCs w:val="23"/>
        </w:rPr>
        <w:t xml:space="preserve">Gently stir the sample with a glass rod to release the suspended matter clinging to the sides of the </w:t>
      </w:r>
      <w:proofErr w:type="spellStart"/>
      <w:r w:rsidRPr="00E740E2">
        <w:rPr>
          <w:bCs/>
          <w:szCs w:val="23"/>
        </w:rPr>
        <w:t>Imhoff</w:t>
      </w:r>
      <w:proofErr w:type="spellEnd"/>
      <w:r w:rsidRPr="00E740E2">
        <w:rPr>
          <w:bCs/>
          <w:szCs w:val="23"/>
        </w:rPr>
        <w:t xml:space="preserve"> cone.</w:t>
      </w:r>
      <w:r w:rsidRPr="00E740E2">
        <w:rPr>
          <w:szCs w:val="23"/>
        </w:rPr>
        <w:t xml:space="preserve"> </w:t>
      </w:r>
    </w:p>
    <w:p w:rsidR="00EE5BFE" w:rsidRPr="00E740E2" w:rsidRDefault="00EE5BFE" w:rsidP="00EE5BFE">
      <w:pPr>
        <w:numPr>
          <w:ilvl w:val="0"/>
          <w:numId w:val="1"/>
        </w:numPr>
        <w:spacing w:before="100" w:beforeAutospacing="1" w:after="100" w:afterAutospacing="1"/>
        <w:rPr>
          <w:szCs w:val="23"/>
        </w:rPr>
      </w:pPr>
      <w:r w:rsidRPr="00E740E2">
        <w:rPr>
          <w:bCs/>
          <w:szCs w:val="23"/>
        </w:rPr>
        <w:t>Let sample settle for an additional 15 minutes.</w:t>
      </w:r>
      <w:r w:rsidRPr="00E740E2">
        <w:rPr>
          <w:szCs w:val="23"/>
        </w:rPr>
        <w:t xml:space="preserve"> </w:t>
      </w:r>
    </w:p>
    <w:p w:rsidR="00EE5BFE" w:rsidRDefault="00EE5BFE" w:rsidP="00EE5BFE">
      <w:pPr>
        <w:numPr>
          <w:ilvl w:val="0"/>
          <w:numId w:val="1"/>
        </w:numPr>
        <w:spacing w:before="100" w:beforeAutospacing="1" w:after="100" w:afterAutospacing="1"/>
        <w:rPr>
          <w:bCs/>
          <w:szCs w:val="23"/>
        </w:rPr>
      </w:pPr>
      <w:r w:rsidRPr="003A4750">
        <w:rPr>
          <w:bCs/>
          <w:szCs w:val="23"/>
        </w:rPr>
        <w:t xml:space="preserve">At this point, one hour has passed. Record the volume of </w:t>
      </w:r>
      <w:proofErr w:type="spellStart"/>
      <w:r w:rsidRPr="003A4750">
        <w:rPr>
          <w:bCs/>
          <w:szCs w:val="23"/>
        </w:rPr>
        <w:t>settleable</w:t>
      </w:r>
      <w:proofErr w:type="spellEnd"/>
      <w:r w:rsidRPr="003A4750">
        <w:rPr>
          <w:bCs/>
          <w:szCs w:val="23"/>
        </w:rPr>
        <w:t xml:space="preserve"> solids (in milliliters/Liter/hour) in the </w:t>
      </w:r>
      <w:proofErr w:type="spellStart"/>
      <w:r w:rsidRPr="003A4750">
        <w:rPr>
          <w:bCs/>
          <w:szCs w:val="23"/>
        </w:rPr>
        <w:t>Imhoff</w:t>
      </w:r>
      <w:proofErr w:type="spellEnd"/>
      <w:r w:rsidRPr="003A4750">
        <w:rPr>
          <w:bCs/>
          <w:szCs w:val="23"/>
        </w:rPr>
        <w:t xml:space="preserve"> cone.</w:t>
      </w:r>
      <w:r w:rsidRPr="003A4750">
        <w:rPr>
          <w:szCs w:val="23"/>
        </w:rPr>
        <w:t xml:space="preserve"> </w:t>
      </w:r>
    </w:p>
    <w:p w:rsidR="00EE5BFE" w:rsidRPr="003A4750" w:rsidRDefault="00EE5BFE" w:rsidP="00EE5BFE">
      <w:pPr>
        <w:spacing w:before="100" w:beforeAutospacing="1" w:after="100" w:afterAutospacing="1"/>
        <w:ind w:left="720"/>
        <w:rPr>
          <w:bCs/>
          <w:szCs w:val="23"/>
        </w:rPr>
      </w:pPr>
      <w:r w:rsidRPr="003A4750">
        <w:rPr>
          <w:bCs/>
          <w:szCs w:val="23"/>
        </w:rPr>
        <w:t xml:space="preserve">Note: Do not include any floating solids or any voids in the settled solids as </w:t>
      </w:r>
      <w:proofErr w:type="spellStart"/>
      <w:r w:rsidRPr="003A4750">
        <w:rPr>
          <w:bCs/>
          <w:szCs w:val="23"/>
        </w:rPr>
        <w:t>settleable</w:t>
      </w:r>
      <w:proofErr w:type="spellEnd"/>
      <w:r w:rsidRPr="003A4750">
        <w:rPr>
          <w:bCs/>
          <w:szCs w:val="23"/>
        </w:rPr>
        <w:t xml:space="preserve"> matter.</w:t>
      </w:r>
    </w:p>
    <w:p w:rsidR="00EE5BFE" w:rsidRDefault="00EE5BFE" w:rsidP="00EE5BFE">
      <w:pPr>
        <w:jc w:val="center"/>
        <w:rPr>
          <w:b/>
          <w:u w:val="single"/>
        </w:rPr>
      </w:pPr>
    </w:p>
    <w:p w:rsidR="00EE5BFE" w:rsidRDefault="00EE5BFE" w:rsidP="00EE5BFE">
      <w:pPr>
        <w:jc w:val="center"/>
        <w:rPr>
          <w:b/>
          <w:u w:val="single"/>
        </w:rPr>
      </w:pPr>
      <w:r>
        <w:rPr>
          <w:b/>
          <w:u w:val="single"/>
        </w:rPr>
        <w:t>Turbidity Tube</w:t>
      </w:r>
      <w:r w:rsidRPr="00E740E2">
        <w:rPr>
          <w:b/>
          <w:u w:val="single"/>
        </w:rPr>
        <w:t xml:space="preserve"> Testing Procedure for </w:t>
      </w:r>
      <w:r>
        <w:rPr>
          <w:b/>
          <w:u w:val="single"/>
        </w:rPr>
        <w:t>Turbidity</w:t>
      </w:r>
    </w:p>
    <w:p w:rsidR="00EE5BFE" w:rsidRPr="001B3FD8" w:rsidRDefault="00EE5BFE" w:rsidP="00EE5BFE">
      <w:pPr>
        <w:autoSpaceDE w:val="0"/>
        <w:autoSpaceDN w:val="0"/>
        <w:adjustRightInd w:val="0"/>
        <w:rPr>
          <w:szCs w:val="23"/>
        </w:rPr>
      </w:pPr>
      <w:r w:rsidRPr="00F122F3">
        <w:t>(Dev</w:t>
      </w:r>
      <w:r>
        <w:t xml:space="preserve">eloped from the </w:t>
      </w:r>
      <w:r>
        <w:rPr>
          <w:rFonts w:ascii="ArialMT" w:hAnsi="ArialMT" w:cs="ArialMT"/>
          <w:sz w:val="20"/>
          <w:szCs w:val="20"/>
        </w:rPr>
        <w:t>SOP for Turbidity Measurements Using Turbidity Tube, Rev. 1, Utah DEQ, DWQ, 2011, as well as</w:t>
      </w:r>
      <w:r w:rsidRPr="001B3FD8">
        <w:rPr>
          <w:rFonts w:ascii="ArialMT" w:hAnsi="ArialMT" w:cs="ArialMT"/>
          <w:sz w:val="24"/>
        </w:rPr>
        <w:t xml:space="preserve"> </w:t>
      </w:r>
      <w:proofErr w:type="spellStart"/>
      <w:r w:rsidRPr="001B3FD8">
        <w:rPr>
          <w:szCs w:val="23"/>
        </w:rPr>
        <w:t>Myre</w:t>
      </w:r>
      <w:proofErr w:type="spellEnd"/>
      <w:r w:rsidRPr="001B3FD8">
        <w:rPr>
          <w:szCs w:val="23"/>
        </w:rPr>
        <w:t>, E., &amp; Shaw, R. (2006): The Turbidity Tube: Simple and Accurate Measurement</w:t>
      </w:r>
      <w:r>
        <w:rPr>
          <w:szCs w:val="23"/>
        </w:rPr>
        <w:t xml:space="preserve"> </w:t>
      </w:r>
      <w:r w:rsidRPr="001B3FD8">
        <w:rPr>
          <w:szCs w:val="23"/>
        </w:rPr>
        <w:t>of Turbidity in the Field, Michigan Technology University, Michigan )</w:t>
      </w:r>
    </w:p>
    <w:p w:rsidR="00EE5BFE" w:rsidRPr="00F122F3" w:rsidRDefault="00EE5BFE" w:rsidP="00EE5BFE">
      <w:pPr>
        <w:jc w:val="center"/>
      </w:pPr>
    </w:p>
    <w:p w:rsidR="00EE5BFE" w:rsidRPr="00CC659B" w:rsidRDefault="00EE5BFE" w:rsidP="00EE5BFE">
      <w:pPr>
        <w:autoSpaceDE w:val="0"/>
        <w:autoSpaceDN w:val="0"/>
        <w:adjustRightInd w:val="0"/>
        <w:rPr>
          <w:b/>
          <w:bCs/>
          <w:szCs w:val="23"/>
        </w:rPr>
      </w:pPr>
      <w:r w:rsidRPr="00CC659B">
        <w:rPr>
          <w:b/>
          <w:bCs/>
          <w:szCs w:val="23"/>
        </w:rPr>
        <w:t>Procedure:</w:t>
      </w:r>
    </w:p>
    <w:p w:rsidR="00EE5BFE" w:rsidRPr="00B148CB" w:rsidRDefault="00EE5BFE" w:rsidP="00EE5BFE">
      <w:pPr>
        <w:pStyle w:val="ListParagraph"/>
        <w:numPr>
          <w:ilvl w:val="0"/>
          <w:numId w:val="2"/>
        </w:numPr>
        <w:autoSpaceDE w:val="0"/>
        <w:autoSpaceDN w:val="0"/>
        <w:adjustRightInd w:val="0"/>
        <w:rPr>
          <w:szCs w:val="23"/>
        </w:rPr>
      </w:pPr>
      <w:r w:rsidRPr="00B148CB">
        <w:rPr>
          <w:szCs w:val="23"/>
        </w:rPr>
        <w:t>Collect a water sample in a large</w:t>
      </w:r>
      <w:r>
        <w:rPr>
          <w:szCs w:val="23"/>
        </w:rPr>
        <w:t>, clean</w:t>
      </w:r>
      <w:r w:rsidRPr="00B148CB">
        <w:rPr>
          <w:szCs w:val="23"/>
        </w:rPr>
        <w:t xml:space="preserve"> container (</w:t>
      </w:r>
      <w:r>
        <w:rPr>
          <w:szCs w:val="23"/>
        </w:rPr>
        <w:t>bucket/</w:t>
      </w:r>
      <w:r w:rsidRPr="00B148CB">
        <w:rPr>
          <w:szCs w:val="23"/>
        </w:rPr>
        <w:t>jug/jar). Be careful not to include sediment from the bottom of the body of water.</w:t>
      </w:r>
    </w:p>
    <w:p w:rsidR="00EE5BFE" w:rsidRPr="00B148CB" w:rsidRDefault="00EE5BFE" w:rsidP="00EE5BFE">
      <w:pPr>
        <w:pStyle w:val="ListParagraph"/>
        <w:numPr>
          <w:ilvl w:val="0"/>
          <w:numId w:val="2"/>
        </w:numPr>
        <w:autoSpaceDE w:val="0"/>
        <w:autoSpaceDN w:val="0"/>
        <w:adjustRightInd w:val="0"/>
        <w:rPr>
          <w:szCs w:val="23"/>
        </w:rPr>
      </w:pPr>
      <w:r w:rsidRPr="00B148CB">
        <w:rPr>
          <w:szCs w:val="23"/>
        </w:rPr>
        <w:t>Rinse the tube with the water that is going to be tested and pour it out.</w:t>
      </w:r>
    </w:p>
    <w:p w:rsidR="00EE5BFE" w:rsidRPr="00B148CB" w:rsidRDefault="00EE5BFE" w:rsidP="00EE5BFE">
      <w:pPr>
        <w:pStyle w:val="ListParagraph"/>
        <w:numPr>
          <w:ilvl w:val="0"/>
          <w:numId w:val="2"/>
        </w:numPr>
        <w:autoSpaceDE w:val="0"/>
        <w:autoSpaceDN w:val="0"/>
        <w:adjustRightInd w:val="0"/>
        <w:rPr>
          <w:szCs w:val="23"/>
        </w:rPr>
      </w:pPr>
      <w:r w:rsidRPr="00B148CB">
        <w:rPr>
          <w:szCs w:val="23"/>
        </w:rPr>
        <w:t>Stir or swirl the water sample in the container vigorously until it is homogenous, introducing as little air as possible.</w:t>
      </w:r>
    </w:p>
    <w:p w:rsidR="00EE5BFE" w:rsidRPr="00B148CB" w:rsidRDefault="00EE5BFE" w:rsidP="00EE5BFE">
      <w:pPr>
        <w:pStyle w:val="ListParagraph"/>
        <w:numPr>
          <w:ilvl w:val="0"/>
          <w:numId w:val="2"/>
        </w:numPr>
        <w:autoSpaceDE w:val="0"/>
        <w:autoSpaceDN w:val="0"/>
        <w:adjustRightInd w:val="0"/>
        <w:rPr>
          <w:szCs w:val="23"/>
        </w:rPr>
      </w:pPr>
      <w:r w:rsidRPr="00B148CB">
        <w:rPr>
          <w:szCs w:val="23"/>
        </w:rPr>
        <w:t>Place your head 10 to 20 centimeters directly over the tube so that you can see the viewing disk while the sample is being poured into the tube.</w:t>
      </w:r>
    </w:p>
    <w:p w:rsidR="00EE5BFE" w:rsidRPr="00B148CB" w:rsidRDefault="00EE5BFE" w:rsidP="00EE5BFE">
      <w:pPr>
        <w:pStyle w:val="ListParagraph"/>
        <w:numPr>
          <w:ilvl w:val="0"/>
          <w:numId w:val="2"/>
        </w:numPr>
        <w:autoSpaceDE w:val="0"/>
        <w:autoSpaceDN w:val="0"/>
        <w:adjustRightInd w:val="0"/>
        <w:rPr>
          <w:szCs w:val="23"/>
        </w:rPr>
      </w:pPr>
      <w:r w:rsidRPr="00B148CB">
        <w:rPr>
          <w:szCs w:val="23"/>
        </w:rPr>
        <w:t xml:space="preserve">Slowly pour water into the tube. Try not to form bubbles as you pour. </w:t>
      </w:r>
      <w:r w:rsidRPr="00B148CB">
        <w:rPr>
          <w:i/>
          <w:iCs/>
          <w:szCs w:val="23"/>
        </w:rPr>
        <w:t>If bubbles do form</w:t>
      </w:r>
      <w:r w:rsidRPr="00B148CB">
        <w:rPr>
          <w:szCs w:val="23"/>
        </w:rPr>
        <w:t>: Stop pouring and allow any bubbles to rise and the surface of the water to become still.</w:t>
      </w:r>
    </w:p>
    <w:p w:rsidR="00EE5BFE" w:rsidRPr="00B148CB" w:rsidRDefault="00EE5BFE" w:rsidP="00EE5BFE">
      <w:pPr>
        <w:pStyle w:val="ListParagraph"/>
        <w:numPr>
          <w:ilvl w:val="0"/>
          <w:numId w:val="2"/>
        </w:numPr>
        <w:autoSpaceDE w:val="0"/>
        <w:autoSpaceDN w:val="0"/>
        <w:adjustRightInd w:val="0"/>
        <w:rPr>
          <w:szCs w:val="23"/>
        </w:rPr>
      </w:pPr>
      <w:r w:rsidRPr="00B148CB">
        <w:rPr>
          <w:szCs w:val="23"/>
        </w:rPr>
        <w:t>Keep slowly adding water until the pattern on the disc becomes hard to see.</w:t>
      </w:r>
    </w:p>
    <w:p w:rsidR="00EE5BFE" w:rsidRPr="00B148CB" w:rsidRDefault="00EE5BFE" w:rsidP="00EE5BFE">
      <w:pPr>
        <w:pStyle w:val="ListParagraph"/>
        <w:numPr>
          <w:ilvl w:val="0"/>
          <w:numId w:val="2"/>
        </w:numPr>
        <w:autoSpaceDE w:val="0"/>
        <w:autoSpaceDN w:val="0"/>
        <w:adjustRightInd w:val="0"/>
        <w:rPr>
          <w:szCs w:val="23"/>
        </w:rPr>
      </w:pPr>
      <w:r w:rsidRPr="00B148CB">
        <w:rPr>
          <w:szCs w:val="23"/>
        </w:rPr>
        <w:t xml:space="preserve">Watch the viewing disk closely and add water even more slowly. Stop pouring as soon as the pattern on the disk can no longer be seen. </w:t>
      </w:r>
      <w:r w:rsidRPr="00B148CB">
        <w:rPr>
          <w:i/>
          <w:iCs/>
          <w:szCs w:val="23"/>
        </w:rPr>
        <w:t xml:space="preserve">If you can still see the viewing disk pattern when the tube is full: </w:t>
      </w:r>
      <w:r w:rsidRPr="00B148CB">
        <w:rPr>
          <w:szCs w:val="23"/>
        </w:rPr>
        <w:t>Record the turbidity value as less than the final measuring mark. (Example: If your tube is full and your highest mark is 5 NTU, write down that the turbidity is “&lt;5 NTU”.)</w:t>
      </w:r>
    </w:p>
    <w:p w:rsidR="00EE5BFE" w:rsidRPr="003A4750" w:rsidRDefault="00EE5BFE" w:rsidP="00EE5BFE">
      <w:pPr>
        <w:pStyle w:val="ListParagraph"/>
        <w:numPr>
          <w:ilvl w:val="0"/>
          <w:numId w:val="2"/>
        </w:numPr>
        <w:autoSpaceDE w:val="0"/>
        <w:autoSpaceDN w:val="0"/>
        <w:adjustRightInd w:val="0"/>
        <w:rPr>
          <w:sz w:val="24"/>
        </w:rPr>
      </w:pPr>
      <w:r w:rsidRPr="00B148CB">
        <w:rPr>
          <w:szCs w:val="23"/>
        </w:rPr>
        <w:t xml:space="preserve">Read the turbidity from the scale on the side of the tube. </w:t>
      </w:r>
      <w:r w:rsidRPr="00B148CB">
        <w:rPr>
          <w:i/>
          <w:iCs/>
          <w:szCs w:val="23"/>
        </w:rPr>
        <w:t>Remember</w:t>
      </w:r>
      <w:r w:rsidRPr="00B148CB">
        <w:rPr>
          <w:szCs w:val="23"/>
        </w:rPr>
        <w:t xml:space="preserve">: If your turbidity tube does not have turbidity values marked on the tube side, simply measure the water level with a ruler or tape measure and find the corresponding turbidity value in </w:t>
      </w:r>
      <w:r>
        <w:rPr>
          <w:szCs w:val="23"/>
        </w:rPr>
        <w:t>the table on the following page.</w:t>
      </w:r>
      <w:r w:rsidRPr="00B148CB">
        <w:rPr>
          <w:szCs w:val="23"/>
        </w:rPr>
        <w:t xml:space="preserve"> </w:t>
      </w:r>
      <w:r>
        <w:rPr>
          <w:szCs w:val="23"/>
        </w:rPr>
        <w:t xml:space="preserve">  Clean the tube and disk.</w:t>
      </w:r>
    </w:p>
    <w:p w:rsidR="00EE5BFE" w:rsidRPr="00B148CB" w:rsidRDefault="00EE5BFE" w:rsidP="00EE5BFE">
      <w:pPr>
        <w:pStyle w:val="ListParagraph"/>
        <w:autoSpaceDE w:val="0"/>
        <w:autoSpaceDN w:val="0"/>
        <w:adjustRightInd w:val="0"/>
        <w:rPr>
          <w:sz w:val="24"/>
        </w:rPr>
      </w:pPr>
    </w:p>
    <w:p w:rsidR="00EE5BFE" w:rsidRDefault="00EE5BFE" w:rsidP="00EE5BFE">
      <w:pPr>
        <w:jc w:val="center"/>
        <w:rPr>
          <w:color w:val="FF0000"/>
        </w:rPr>
      </w:pPr>
      <w:r>
        <w:rPr>
          <w:noProof/>
          <w:color w:val="FF0000"/>
        </w:rPr>
        <w:lastRenderedPageBreak/>
        <w:drawing>
          <wp:inline distT="0" distB="0" distL="0" distR="0">
            <wp:extent cx="3319573" cy="1740887"/>
            <wp:effectExtent l="1905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320253" cy="1741244"/>
                    </a:xfrm>
                    <a:prstGeom prst="rect">
                      <a:avLst/>
                    </a:prstGeom>
                    <a:noFill/>
                    <a:ln w="9525">
                      <a:noFill/>
                      <a:miter lim="800000"/>
                      <a:headEnd/>
                      <a:tailEnd/>
                    </a:ln>
                  </pic:spPr>
                </pic:pic>
              </a:graphicData>
            </a:graphic>
          </wp:inline>
        </w:drawing>
      </w:r>
    </w:p>
    <w:p w:rsidR="00EE5BFE" w:rsidRPr="00F122F3" w:rsidRDefault="00EE5BFE" w:rsidP="00EE5BFE">
      <w:pPr>
        <w:autoSpaceDE w:val="0"/>
        <w:autoSpaceDN w:val="0"/>
        <w:adjustRightInd w:val="0"/>
        <w:jc w:val="center"/>
        <w:rPr>
          <w:color w:val="FF0000"/>
          <w:szCs w:val="23"/>
        </w:rPr>
      </w:pPr>
      <w:r w:rsidRPr="00F122F3">
        <w:rPr>
          <w:szCs w:val="23"/>
        </w:rPr>
        <w:t>Schematic of turbidity measurement using a Turbidity tube (</w:t>
      </w:r>
      <w:proofErr w:type="spellStart"/>
      <w:r w:rsidRPr="00F122F3">
        <w:rPr>
          <w:szCs w:val="23"/>
        </w:rPr>
        <w:t>Myre</w:t>
      </w:r>
      <w:proofErr w:type="spellEnd"/>
      <w:r w:rsidRPr="00F122F3">
        <w:rPr>
          <w:szCs w:val="23"/>
        </w:rPr>
        <w:t xml:space="preserve"> and Shaw, 2006)</w:t>
      </w:r>
    </w:p>
    <w:p w:rsidR="00EE5BFE" w:rsidRDefault="00EE5BFE" w:rsidP="00EE5BFE">
      <w:pPr>
        <w:autoSpaceDE w:val="0"/>
        <w:autoSpaceDN w:val="0"/>
        <w:adjustRightInd w:val="0"/>
        <w:rPr>
          <w:rFonts w:ascii="Garamond-Bold" w:hAnsi="Garamond-Bold" w:cs="Garamond-Bold"/>
          <w:b/>
          <w:bCs/>
          <w:sz w:val="32"/>
          <w:szCs w:val="32"/>
        </w:rPr>
      </w:pPr>
      <w:r>
        <w:rPr>
          <w:rFonts w:ascii="Garamond-Bold" w:hAnsi="Garamond-Bold" w:cs="Garamond-Bold"/>
          <w:b/>
          <w:bCs/>
          <w:sz w:val="32"/>
          <w:szCs w:val="32"/>
        </w:rPr>
        <w:t>Length-to-Turbidity Conversion Chart</w:t>
      </w:r>
    </w:p>
    <w:p w:rsidR="00EE5BFE" w:rsidRDefault="00EE5BFE" w:rsidP="00EE5BFE">
      <w:pPr>
        <w:autoSpaceDE w:val="0"/>
        <w:autoSpaceDN w:val="0"/>
        <w:adjustRightInd w:val="0"/>
        <w:rPr>
          <w:rFonts w:ascii="Garamond" w:hAnsi="Garamond" w:cs="Garamond"/>
          <w:sz w:val="24"/>
        </w:rPr>
      </w:pPr>
      <w:r>
        <w:rPr>
          <w:rFonts w:ascii="Garamond" w:hAnsi="Garamond" w:cs="Garamond"/>
          <w:sz w:val="24"/>
        </w:rPr>
        <w:t>The following table provides the turbidity values (in NTU) that correspond to different lengths measured above the viewing disk. These values can be used to mark the turbidity tube directly or to convert measured values to turbidity units.</w:t>
      </w:r>
    </w:p>
    <w:p w:rsidR="00EE5BFE" w:rsidRDefault="00EE5BFE" w:rsidP="00EE5BFE">
      <w:pPr>
        <w:autoSpaceDE w:val="0"/>
        <w:autoSpaceDN w:val="0"/>
        <w:adjustRightInd w:val="0"/>
        <w:rPr>
          <w:rFonts w:ascii="Garamond" w:hAnsi="Garamond" w:cs="Garamond"/>
          <w:sz w:val="24"/>
        </w:rPr>
      </w:pPr>
    </w:p>
    <w:p w:rsidR="00EE5BFE" w:rsidRDefault="00EE5BFE" w:rsidP="00EE5BFE">
      <w:pPr>
        <w:jc w:val="center"/>
        <w:rPr>
          <w:color w:val="FF0000"/>
        </w:rPr>
      </w:pPr>
    </w:p>
    <w:p w:rsidR="00EE5BFE" w:rsidRDefault="00EE5BFE" w:rsidP="00EE5BFE">
      <w:pPr>
        <w:jc w:val="center"/>
        <w:rPr>
          <w:color w:val="FF0000"/>
        </w:rPr>
      </w:pPr>
      <w:r>
        <w:rPr>
          <w:noProof/>
          <w:color w:val="FF0000"/>
        </w:rPr>
        <w:lastRenderedPageBreak/>
        <w:drawing>
          <wp:inline distT="0" distB="0" distL="0" distR="0">
            <wp:extent cx="5218271" cy="5911703"/>
            <wp:effectExtent l="19050" t="0" r="1429"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5218471" cy="5911929"/>
                    </a:xfrm>
                    <a:prstGeom prst="rect">
                      <a:avLst/>
                    </a:prstGeom>
                    <a:noFill/>
                    <a:ln w="9525">
                      <a:noFill/>
                      <a:miter lim="800000"/>
                      <a:headEnd/>
                      <a:tailEnd/>
                    </a:ln>
                  </pic:spPr>
                </pic:pic>
              </a:graphicData>
            </a:graphic>
          </wp:inline>
        </w:drawing>
      </w:r>
    </w:p>
    <w:p w:rsidR="00EE5BFE" w:rsidRDefault="00EE5BFE" w:rsidP="00EE5BFE">
      <w:pPr>
        <w:jc w:val="center"/>
        <w:rPr>
          <w:color w:val="FF0000"/>
        </w:rPr>
      </w:pPr>
    </w:p>
    <w:p w:rsidR="00EE5BFE" w:rsidRDefault="00EE5BFE" w:rsidP="00EE5BFE">
      <w:pPr>
        <w:jc w:val="center"/>
        <w:rPr>
          <w:color w:val="FF0000"/>
        </w:rPr>
      </w:pPr>
    </w:p>
    <w:p w:rsidR="000E0562" w:rsidRDefault="00EE5BFE" w:rsidP="00EE5BFE"/>
    <w:sectPr w:rsidR="000E0562" w:rsidSect="00FF7B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BFE" w:rsidRDefault="00EE5BFE" w:rsidP="00EE5BFE">
      <w:r>
        <w:separator/>
      </w:r>
    </w:p>
  </w:endnote>
  <w:endnote w:type="continuationSeparator" w:id="0">
    <w:p w:rsidR="00EE5BFE" w:rsidRDefault="00EE5BFE" w:rsidP="00EE5B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MT">
    <w:panose1 w:val="00000000000000000000"/>
    <w:charset w:val="00"/>
    <w:family w:val="swiss"/>
    <w:notTrueType/>
    <w:pitch w:val="default"/>
    <w:sig w:usb0="00000003" w:usb1="00000000" w:usb2="00000000" w:usb3="00000000" w:csb0="00000001" w:csb1="00000000"/>
  </w:font>
  <w:font w:name="Garamond-Bol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0CC" w:rsidRDefault="00EE5B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740CC" w:rsidRDefault="00EE5BF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0CC" w:rsidRDefault="00EE5BFE">
    <w:pPr>
      <w:pStyle w:val="Footer"/>
      <w:framePr w:wrap="around" w:vAnchor="text" w:hAnchor="margin" w:xAlign="center" w:y="1"/>
      <w:rPr>
        <w:rStyle w:val="PageNumber"/>
      </w:rPr>
    </w:pPr>
  </w:p>
  <w:p w:rsidR="009740CC" w:rsidRDefault="00EE5BF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BFE" w:rsidRDefault="00EE5BFE" w:rsidP="00EE5BFE">
      <w:r>
        <w:separator/>
      </w:r>
    </w:p>
  </w:footnote>
  <w:footnote w:type="continuationSeparator" w:id="0">
    <w:p w:rsidR="00EE5BFE" w:rsidRDefault="00EE5BFE" w:rsidP="00EE5B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E527E"/>
    <w:multiLevelType w:val="hybridMultilevel"/>
    <w:tmpl w:val="34480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A835B0"/>
    <w:multiLevelType w:val="multilevel"/>
    <w:tmpl w:val="BD006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footnotePr>
    <w:footnote w:id="-1"/>
    <w:footnote w:id="0"/>
  </w:footnotePr>
  <w:endnotePr>
    <w:endnote w:id="-1"/>
    <w:endnote w:id="0"/>
  </w:endnotePr>
  <w:compat>
    <w:useFELayout/>
  </w:compat>
  <w:rsids>
    <w:rsidRoot w:val="00EE5BFE"/>
    <w:rsid w:val="00012926"/>
    <w:rsid w:val="00101E4E"/>
    <w:rsid w:val="001C6323"/>
    <w:rsid w:val="002863C1"/>
    <w:rsid w:val="002A30B8"/>
    <w:rsid w:val="003268FF"/>
    <w:rsid w:val="003B1850"/>
    <w:rsid w:val="003B769F"/>
    <w:rsid w:val="004B7EEC"/>
    <w:rsid w:val="00545754"/>
    <w:rsid w:val="005B0E24"/>
    <w:rsid w:val="00680A0D"/>
    <w:rsid w:val="00700FEC"/>
    <w:rsid w:val="00735C76"/>
    <w:rsid w:val="007663A4"/>
    <w:rsid w:val="007F6140"/>
    <w:rsid w:val="00914647"/>
    <w:rsid w:val="0091522C"/>
    <w:rsid w:val="009C7142"/>
    <w:rsid w:val="00A33AD2"/>
    <w:rsid w:val="00A64541"/>
    <w:rsid w:val="00B50E43"/>
    <w:rsid w:val="00B51025"/>
    <w:rsid w:val="00CD397C"/>
    <w:rsid w:val="00D349F5"/>
    <w:rsid w:val="00D56AAF"/>
    <w:rsid w:val="00E2540D"/>
    <w:rsid w:val="00E3380E"/>
    <w:rsid w:val="00EE5BFE"/>
    <w:rsid w:val="00F14646"/>
    <w:rsid w:val="00F53CA7"/>
    <w:rsid w:val="00FA1A3C"/>
    <w:rsid w:val="00FF7B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BFE"/>
    <w:pPr>
      <w:spacing w:after="0" w:line="240" w:lineRule="auto"/>
    </w:pPr>
    <w:rPr>
      <w:rFonts w:ascii="Times New Roman" w:eastAsia="Times New Roman" w:hAnsi="Times New Roman" w:cs="Times New Roman"/>
      <w:sz w:val="23"/>
      <w:szCs w:val="24"/>
    </w:rPr>
  </w:style>
  <w:style w:type="paragraph" w:styleId="Heading1">
    <w:name w:val="heading 1"/>
    <w:basedOn w:val="Normal"/>
    <w:link w:val="Heading1Char"/>
    <w:qFormat/>
    <w:rsid w:val="00A64541"/>
    <w:pPr>
      <w:pBdr>
        <w:bottom w:val="single" w:sz="4" w:space="2" w:color="AAAAAA"/>
      </w:pBdr>
      <w:outlineLvl w:val="0"/>
    </w:pPr>
    <w:rPr>
      <w:color w:val="000000"/>
      <w:kern w:val="36"/>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541"/>
    <w:rPr>
      <w:rFonts w:ascii="Times New Roman" w:eastAsia="Times New Roman" w:hAnsi="Times New Roman" w:cs="Times New Roman"/>
      <w:color w:val="000000"/>
      <w:kern w:val="36"/>
      <w:sz w:val="45"/>
      <w:szCs w:val="45"/>
    </w:rPr>
  </w:style>
  <w:style w:type="paragraph" w:styleId="ListParagraph">
    <w:name w:val="List Paragraph"/>
    <w:basedOn w:val="Normal"/>
    <w:uiPriority w:val="34"/>
    <w:qFormat/>
    <w:rsid w:val="00A64541"/>
    <w:pPr>
      <w:ind w:left="720"/>
      <w:contextualSpacing/>
    </w:pPr>
  </w:style>
  <w:style w:type="paragraph" w:styleId="NormalWeb">
    <w:name w:val="Normal (Web)"/>
    <w:basedOn w:val="Normal"/>
    <w:uiPriority w:val="99"/>
    <w:rsid w:val="00EE5BFE"/>
    <w:pPr>
      <w:spacing w:before="100" w:beforeAutospacing="1" w:after="100" w:afterAutospacing="1"/>
    </w:pPr>
  </w:style>
  <w:style w:type="paragraph" w:styleId="Footer">
    <w:name w:val="footer"/>
    <w:basedOn w:val="Normal"/>
    <w:link w:val="FooterChar"/>
    <w:uiPriority w:val="99"/>
    <w:rsid w:val="00EE5BFE"/>
    <w:pPr>
      <w:tabs>
        <w:tab w:val="center" w:pos="4320"/>
        <w:tab w:val="right" w:pos="8640"/>
      </w:tabs>
    </w:pPr>
  </w:style>
  <w:style w:type="character" w:customStyle="1" w:styleId="FooterChar">
    <w:name w:val="Footer Char"/>
    <w:basedOn w:val="DefaultParagraphFont"/>
    <w:link w:val="Footer"/>
    <w:uiPriority w:val="99"/>
    <w:rsid w:val="00EE5BFE"/>
    <w:rPr>
      <w:rFonts w:ascii="Times New Roman" w:eastAsia="Times New Roman" w:hAnsi="Times New Roman" w:cs="Times New Roman"/>
      <w:sz w:val="23"/>
      <w:szCs w:val="24"/>
    </w:rPr>
  </w:style>
  <w:style w:type="character" w:styleId="PageNumber">
    <w:name w:val="page number"/>
    <w:basedOn w:val="DefaultParagraphFont"/>
    <w:semiHidden/>
    <w:rsid w:val="00EE5BFE"/>
  </w:style>
  <w:style w:type="paragraph" w:styleId="Header">
    <w:name w:val="header"/>
    <w:basedOn w:val="Normal"/>
    <w:link w:val="HeaderChar"/>
    <w:uiPriority w:val="99"/>
    <w:semiHidden/>
    <w:unhideWhenUsed/>
    <w:rsid w:val="00EE5BFE"/>
    <w:pPr>
      <w:tabs>
        <w:tab w:val="center" w:pos="4680"/>
        <w:tab w:val="right" w:pos="9360"/>
      </w:tabs>
    </w:pPr>
  </w:style>
  <w:style w:type="character" w:customStyle="1" w:styleId="HeaderChar">
    <w:name w:val="Header Char"/>
    <w:basedOn w:val="DefaultParagraphFont"/>
    <w:link w:val="Header"/>
    <w:uiPriority w:val="99"/>
    <w:semiHidden/>
    <w:rsid w:val="00EE5BFE"/>
    <w:rPr>
      <w:rFonts w:ascii="Times New Roman" w:eastAsia="Times New Roman" w:hAnsi="Times New Roman" w:cs="Times New Roman"/>
      <w:sz w:val="23"/>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445</Words>
  <Characters>2543</Characters>
  <Application>Microsoft Office Word</Application>
  <DocSecurity>0</DocSecurity>
  <Lines>21</Lines>
  <Paragraphs>5</Paragraphs>
  <ScaleCrop>false</ScaleCrop>
  <Company>MoDOT</Company>
  <LinksUpToDate>false</LinksUpToDate>
  <CharactersWithSpaces>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smithk</dc:creator>
  <cp:lastModifiedBy>smithk</cp:lastModifiedBy>
  <cp:revision>1</cp:revision>
  <dcterms:created xsi:type="dcterms:W3CDTF">2012-01-27T19:49:00Z</dcterms:created>
  <dcterms:modified xsi:type="dcterms:W3CDTF">2012-01-27T19:50:00Z</dcterms:modified>
</cp:coreProperties>
</file>